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B981" w14:textId="77777777" w:rsidR="00212FD6" w:rsidRPr="00212FD6" w:rsidRDefault="00212FD6" w:rsidP="00212FD6">
      <w:pPr>
        <w:rPr>
          <w:noProof/>
          <w:lang w:val="en-GB"/>
        </w:rPr>
      </w:pPr>
      <w:r w:rsidRPr="00212FD6">
        <w:rPr>
          <w:noProof/>
          <w:lang w:val="en-GB"/>
        </w:rPr>
        <w:t xml:space="preserve">                                                  </w:t>
      </w:r>
    </w:p>
    <w:p w14:paraId="4089594A" w14:textId="77777777" w:rsidR="00212FD6" w:rsidRPr="00212FD6" w:rsidRDefault="00212FD6" w:rsidP="00212FD6">
      <w:pPr>
        <w:rPr>
          <w:noProof/>
          <w:lang w:val="en-GB"/>
        </w:rPr>
      </w:pPr>
    </w:p>
    <w:p w14:paraId="70333409" w14:textId="77777777" w:rsidR="00212FD6" w:rsidRPr="00212FD6" w:rsidRDefault="00212FD6" w:rsidP="00212FD6">
      <w:pPr>
        <w:jc w:val="center"/>
        <w:rPr>
          <w:b/>
          <w:bCs/>
          <w:noProof/>
          <w:sz w:val="28"/>
          <w:szCs w:val="28"/>
          <w:lang w:val="en-GB"/>
        </w:rPr>
      </w:pPr>
      <w:r w:rsidRPr="00212FD6">
        <w:rPr>
          <w:b/>
          <w:bCs/>
          <w:noProof/>
          <w:sz w:val="28"/>
          <w:szCs w:val="28"/>
          <w:lang w:val="en-GB"/>
        </w:rPr>
        <w:t xml:space="preserve">       SPINAKER Winter School course</w:t>
      </w:r>
    </w:p>
    <w:p w14:paraId="77603A66" w14:textId="57D6A9F5" w:rsidR="00212FD6" w:rsidRPr="00212FD6" w:rsidRDefault="00212FD6" w:rsidP="00212FD6">
      <w:pPr>
        <w:rPr>
          <w:b/>
          <w:bCs/>
          <w:noProof/>
          <w:sz w:val="24"/>
          <w:szCs w:val="24"/>
          <w:lang w:val="en-GB"/>
        </w:rPr>
      </w:pPr>
      <w:r w:rsidRPr="00212FD6">
        <w:rPr>
          <w:b/>
          <w:bCs/>
          <w:noProof/>
          <w:sz w:val="32"/>
          <w:szCs w:val="32"/>
          <w:lang w:val="en-GB"/>
        </w:rPr>
        <w:t xml:space="preserve">                                        </w:t>
      </w:r>
      <w:r w:rsidR="00AF0CF3" w:rsidRPr="00AF0CF3">
        <w:rPr>
          <w:b/>
          <w:bCs/>
          <w:noProof/>
          <w:sz w:val="32"/>
          <w:szCs w:val="32"/>
          <w:lang w:val="en-GB"/>
        </w:rPr>
        <w:t xml:space="preserve">     Case Study Analysis</w:t>
      </w:r>
    </w:p>
    <w:p w14:paraId="41AD4215" w14:textId="77777777" w:rsidR="00212FD6" w:rsidRPr="00212FD6" w:rsidRDefault="00212FD6" w:rsidP="00212FD6">
      <w:pPr>
        <w:jc w:val="center"/>
        <w:rPr>
          <w:highlight w:val="yellow"/>
          <w:lang w:val="en-GB"/>
        </w:rPr>
      </w:pPr>
    </w:p>
    <w:p w14:paraId="2ECCF02E" w14:textId="2EB7BD14" w:rsidR="00212FD6" w:rsidRPr="00212FD6" w:rsidRDefault="00B35915" w:rsidP="00212FD6">
      <w:pPr>
        <w:jc w:val="center"/>
        <w:rPr>
          <w:b/>
          <w:bCs/>
          <w:lang w:val="en-GB"/>
        </w:rPr>
      </w:pPr>
      <w:r w:rsidRPr="00212FD6">
        <w:rPr>
          <w:b/>
          <w:bCs/>
          <w:noProof/>
        </w:rPr>
        <mc:AlternateContent>
          <mc:Choice Requires="wps">
            <w:drawing>
              <wp:anchor distT="45720" distB="45720" distL="114300" distR="114300" simplePos="0" relativeHeight="251659264" behindDoc="0" locked="0" layoutInCell="1" allowOverlap="1" wp14:anchorId="01C27069" wp14:editId="353221FD">
                <wp:simplePos x="0" y="0"/>
                <wp:positionH relativeFrom="page">
                  <wp:posOffset>929640</wp:posOffset>
                </wp:positionH>
                <wp:positionV relativeFrom="paragraph">
                  <wp:posOffset>468630</wp:posOffset>
                </wp:positionV>
                <wp:extent cx="5821680" cy="1645920"/>
                <wp:effectExtent l="0" t="0" r="26670" b="114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645920"/>
                        </a:xfrm>
                        <a:prstGeom prst="rect">
                          <a:avLst/>
                        </a:prstGeom>
                        <a:solidFill>
                          <a:srgbClr val="FFFFFF"/>
                        </a:solidFill>
                        <a:ln w="9525">
                          <a:solidFill>
                            <a:sysClr val="window" lastClr="FFFFFF">
                              <a:lumMod val="75000"/>
                            </a:sysClr>
                          </a:solidFill>
                          <a:miter lim="800000"/>
                          <a:headEnd/>
                          <a:tailEnd/>
                        </a:ln>
                      </wps:spPr>
                      <wps:txbx>
                        <w:txbxContent>
                          <w:p w14:paraId="6EDBF6EC" w14:textId="77777777" w:rsidR="00B35915" w:rsidRPr="00B35915" w:rsidRDefault="00B35915" w:rsidP="00B35915">
                            <w:pPr>
                              <w:jc w:val="both"/>
                              <w:rPr>
                                <w:lang w:val="en-US"/>
                              </w:rPr>
                            </w:pPr>
                            <w:r w:rsidRPr="00B35915">
                              <w:rPr>
                                <w:lang w:val="en-US"/>
                              </w:rPr>
                              <w:t xml:space="preserve">The aim of this course is to give participants a working understanding of case study methods, focusing in particular on process-tracing. Case study methods are essentially within-case methods that enable claims to be made about how outcomes are produced in a concrete case. The aim of the course is to enable the participants to develop designs that can be used to answer questions about how a course is causally related to an outcome by identifying how they are causally related. The course further introduces to various techniques that allow the participants to use evidence to test whether the explanations holds in a particular case. Finally the course introduce to case selection techniques by presenting the rationale and logics behind case selection in case study methods. </w:t>
                            </w:r>
                          </w:p>
                          <w:p w14:paraId="785C3E50" w14:textId="08AA2CF4" w:rsidR="00212FD6" w:rsidRPr="00B35915" w:rsidRDefault="00212FD6" w:rsidP="00212FD6">
                            <w:pPr>
                              <w:jc w:val="both"/>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27069" id="_x0000_t202" coordsize="21600,21600" o:spt="202" path="m,l,21600r21600,l21600,xe">
                <v:stroke joinstyle="miter"/>
                <v:path gradientshapeok="t" o:connecttype="rect"/>
              </v:shapetype>
              <v:shape id="Pole tekstowe 2" o:spid="_x0000_s1026" type="#_x0000_t202" style="position:absolute;left:0;text-align:left;margin-left:73.2pt;margin-top:36.9pt;width:458.4pt;height:12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" strokecolor="#bfbfbf">
                <v:textbox>
                  <w:txbxContent>
                    <w:p w14:paraId="6EDBF6EC" w14:textId="77777777" w:rsidR="00B35915" w:rsidRPr="00B35915" w:rsidRDefault="00B35915" w:rsidP="00B35915">
                      <w:pPr>
                        <w:jc w:val="both"/>
                        <w:rPr>
                          <w:lang w:val="en-US"/>
                        </w:rPr>
                      </w:pPr>
                      <w:r w:rsidRPr="00B35915">
                        <w:rPr>
                          <w:lang w:val="en-US"/>
                        </w:rPr>
                        <w:t xml:space="preserve">The aim of this course is to give participants a working understanding of case study methods, focusing in particular on process-tracing. Case study methods are essentially within-case methods that enable claims to be made about how outcomes are produced in a concrete case. The aim of the course is to enable the participants to develop designs that can be used to answer questions about how a course is causally related to an outcome by identifying how they are causally related. The course further introduces to various techniques that allow the participants to use evidence to test whether the explanations holds in a particular case. Finally the course introduce to case selection techniques by presenting the rationale and logics behind case selection in case study methods. </w:t>
                      </w:r>
                    </w:p>
                    <w:p w14:paraId="785C3E50" w14:textId="08AA2CF4" w:rsidR="00212FD6" w:rsidRPr="00B35915" w:rsidRDefault="00212FD6" w:rsidP="00212FD6">
                      <w:pPr>
                        <w:jc w:val="both"/>
                        <w:rPr>
                          <w:lang w:val="en-US"/>
                        </w:rPr>
                      </w:pPr>
                    </w:p>
                  </w:txbxContent>
                </v:textbox>
                <w10:wrap type="square" anchorx="page"/>
              </v:shape>
            </w:pict>
          </mc:Fallback>
        </mc:AlternateContent>
      </w:r>
      <w:r w:rsidR="00212FD6" w:rsidRPr="00212FD6">
        <w:rPr>
          <w:b/>
          <w:bCs/>
          <w:sz w:val="28"/>
          <w:szCs w:val="28"/>
          <w:lang w:val="en-GB"/>
        </w:rPr>
        <w:t>Course description</w:t>
      </w:r>
    </w:p>
    <w:p w14:paraId="0726D24E" w14:textId="77777777" w:rsidR="00212FD6" w:rsidRPr="00212FD6" w:rsidRDefault="00212FD6" w:rsidP="00212FD6">
      <w:pPr>
        <w:rPr>
          <w:highlight w:val="yellow"/>
          <w:lang w:val="en-GB"/>
        </w:rPr>
      </w:pPr>
    </w:p>
    <w:p w14:paraId="775EB9A6" w14:textId="77777777" w:rsidR="00212FD6" w:rsidRPr="00212FD6" w:rsidRDefault="00212FD6" w:rsidP="00212FD6">
      <w:pPr>
        <w:jc w:val="center"/>
        <w:rPr>
          <w:b/>
          <w:bCs/>
          <w:sz w:val="28"/>
          <w:szCs w:val="28"/>
          <w:lang w:val="en-GB"/>
        </w:rPr>
      </w:pPr>
      <w:r w:rsidRPr="00212FD6">
        <w:rPr>
          <w:b/>
          <w:bCs/>
          <w:sz w:val="28"/>
          <w:szCs w:val="28"/>
          <w:lang w:val="en-GB"/>
        </w:rPr>
        <w:t>Subject’s learning outcomes</w:t>
      </w:r>
    </w:p>
    <w:tbl>
      <w:tblPr>
        <w:tblStyle w:val="TableNormal"/>
        <w:tblW w:w="9140" w:type="dxa"/>
        <w:tblInd w:w="1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6546"/>
        <w:gridCol w:w="2594"/>
      </w:tblGrid>
      <w:tr w:rsidR="00212FD6" w:rsidRPr="00212FD6" w14:paraId="2E5AA0B3" w14:textId="77777777" w:rsidTr="0053082E">
        <w:trPr>
          <w:trHeight w:val="354"/>
        </w:trPr>
        <w:tc>
          <w:tcPr>
            <w:tcW w:w="6546" w:type="dxa"/>
          </w:tcPr>
          <w:p w14:paraId="080501CE" w14:textId="77777777" w:rsidR="00212FD6" w:rsidRPr="00212FD6" w:rsidRDefault="00212FD6" w:rsidP="00212FD6">
            <w:pPr>
              <w:spacing w:before="76"/>
              <w:ind w:left="82"/>
              <w:rPr>
                <w:rFonts w:ascii="Trebuchet MS" w:eastAsia="Trebuchet MS" w:hAnsi="Trebuchet MS" w:cs="Trebuchet MS"/>
                <w:b/>
                <w:sz w:val="18"/>
              </w:rPr>
            </w:pPr>
            <w:r w:rsidRPr="00212FD6">
              <w:rPr>
                <w:rFonts w:ascii="Trebuchet MS" w:eastAsia="Trebuchet MS" w:hAnsi="Trebuchet MS" w:cs="Trebuchet MS"/>
                <w:b/>
                <w:w w:val="110"/>
                <w:sz w:val="18"/>
              </w:rPr>
              <w:t>Outcomes</w:t>
            </w:r>
            <w:r w:rsidRPr="00212FD6">
              <w:rPr>
                <w:rFonts w:ascii="Trebuchet MS" w:eastAsia="Trebuchet MS" w:hAnsi="Trebuchet MS" w:cs="Trebuchet MS"/>
                <w:b/>
                <w:spacing w:val="-9"/>
                <w:w w:val="110"/>
                <w:sz w:val="18"/>
              </w:rPr>
              <w:t xml:space="preserve"> </w:t>
            </w:r>
            <w:r w:rsidRPr="00212FD6">
              <w:rPr>
                <w:rFonts w:ascii="Trebuchet MS" w:eastAsia="Trebuchet MS" w:hAnsi="Trebuchet MS" w:cs="Trebuchet MS"/>
                <w:b/>
                <w:w w:val="110"/>
                <w:sz w:val="18"/>
              </w:rPr>
              <w:t>in</w:t>
            </w:r>
            <w:r w:rsidRPr="00212FD6">
              <w:rPr>
                <w:rFonts w:ascii="Trebuchet MS" w:eastAsia="Trebuchet MS" w:hAnsi="Trebuchet MS" w:cs="Trebuchet MS"/>
                <w:b/>
                <w:spacing w:val="-8"/>
                <w:w w:val="110"/>
                <w:sz w:val="18"/>
              </w:rPr>
              <w:t xml:space="preserve"> </w:t>
            </w:r>
            <w:r w:rsidRPr="00212FD6">
              <w:rPr>
                <w:rFonts w:ascii="Trebuchet MS" w:eastAsia="Trebuchet MS" w:hAnsi="Trebuchet MS" w:cs="Trebuchet MS"/>
                <w:b/>
                <w:w w:val="110"/>
                <w:sz w:val="18"/>
              </w:rPr>
              <w:t>terms</w:t>
            </w:r>
            <w:r w:rsidRPr="00212FD6">
              <w:rPr>
                <w:rFonts w:ascii="Trebuchet MS" w:eastAsia="Trebuchet MS" w:hAnsi="Trebuchet MS" w:cs="Trebuchet MS"/>
                <w:b/>
                <w:spacing w:val="-9"/>
                <w:w w:val="110"/>
                <w:sz w:val="18"/>
              </w:rPr>
              <w:t xml:space="preserve"> </w:t>
            </w:r>
            <w:r w:rsidRPr="00212FD6">
              <w:rPr>
                <w:rFonts w:ascii="Trebuchet MS" w:eastAsia="Trebuchet MS" w:hAnsi="Trebuchet MS" w:cs="Trebuchet MS"/>
                <w:b/>
                <w:w w:val="110"/>
                <w:sz w:val="18"/>
              </w:rPr>
              <w:t>of</w:t>
            </w:r>
          </w:p>
        </w:tc>
        <w:tc>
          <w:tcPr>
            <w:tcW w:w="2594" w:type="dxa"/>
          </w:tcPr>
          <w:p w14:paraId="4322EFE9" w14:textId="77777777" w:rsidR="00212FD6" w:rsidRPr="00212FD6" w:rsidRDefault="00212FD6" w:rsidP="00212FD6">
            <w:pPr>
              <w:spacing w:before="76"/>
              <w:ind w:left="132"/>
              <w:rPr>
                <w:rFonts w:ascii="Trebuchet MS" w:eastAsia="Trebuchet MS" w:hAnsi="Trebuchet MS" w:cs="Trebuchet MS"/>
                <w:b/>
                <w:sz w:val="18"/>
              </w:rPr>
            </w:pPr>
            <w:r w:rsidRPr="00212FD6">
              <w:rPr>
                <w:rFonts w:ascii="Trebuchet MS" w:eastAsia="Trebuchet MS" w:hAnsi="Trebuchet MS" w:cs="Trebuchet MS"/>
                <w:b/>
                <w:w w:val="110"/>
                <w:sz w:val="18"/>
              </w:rPr>
              <w:t>Examination</w:t>
            </w:r>
            <w:r w:rsidRPr="00212FD6">
              <w:rPr>
                <w:rFonts w:ascii="Trebuchet MS" w:eastAsia="Trebuchet MS" w:hAnsi="Trebuchet MS" w:cs="Trebuchet MS"/>
                <w:b/>
                <w:spacing w:val="-9"/>
                <w:w w:val="110"/>
                <w:sz w:val="18"/>
              </w:rPr>
              <w:t xml:space="preserve"> </w:t>
            </w:r>
            <w:r w:rsidRPr="00212FD6">
              <w:rPr>
                <w:rFonts w:ascii="Trebuchet MS" w:eastAsia="Trebuchet MS" w:hAnsi="Trebuchet MS" w:cs="Trebuchet MS"/>
                <w:b/>
                <w:w w:val="110"/>
                <w:sz w:val="18"/>
              </w:rPr>
              <w:t>methods</w:t>
            </w:r>
          </w:p>
        </w:tc>
      </w:tr>
      <w:tr w:rsidR="00212FD6" w:rsidRPr="00F35131" w14:paraId="452999F6" w14:textId="77777777" w:rsidTr="0053082E">
        <w:trPr>
          <w:trHeight w:val="354"/>
        </w:trPr>
        <w:tc>
          <w:tcPr>
            <w:tcW w:w="6546" w:type="dxa"/>
          </w:tcPr>
          <w:p w14:paraId="65D3D1CF" w14:textId="77777777" w:rsidR="00212FD6" w:rsidRPr="00212FD6" w:rsidRDefault="00212FD6" w:rsidP="00212FD6">
            <w:pPr>
              <w:spacing w:before="76"/>
              <w:ind w:left="82"/>
              <w:rPr>
                <w:rFonts w:ascii="Trebuchet MS" w:eastAsia="Trebuchet MS" w:hAnsi="Trebuchet MS" w:cs="Trebuchet MS"/>
                <w:b/>
                <w:w w:val="110"/>
                <w:sz w:val="18"/>
              </w:rPr>
            </w:pPr>
            <w:r w:rsidRPr="00212FD6">
              <w:rPr>
                <w:rFonts w:ascii="Trebuchet MS" w:eastAsia="Trebuchet MS" w:hAnsi="Trebuchet MS" w:cs="Trebuchet MS"/>
                <w:b/>
                <w:w w:val="110"/>
                <w:sz w:val="18"/>
              </w:rPr>
              <w:t>Knowledge – Student knows and understands:</w:t>
            </w:r>
          </w:p>
        </w:tc>
        <w:tc>
          <w:tcPr>
            <w:tcW w:w="2594" w:type="dxa"/>
          </w:tcPr>
          <w:p w14:paraId="0A24E9CA" w14:textId="77777777" w:rsidR="00212FD6" w:rsidRPr="00212FD6" w:rsidRDefault="00212FD6" w:rsidP="00212FD6">
            <w:pPr>
              <w:spacing w:before="76"/>
              <w:ind w:left="132"/>
              <w:rPr>
                <w:rFonts w:ascii="Trebuchet MS" w:eastAsia="Trebuchet MS" w:hAnsi="Trebuchet MS" w:cs="Trebuchet MS"/>
                <w:b/>
                <w:w w:val="110"/>
                <w:sz w:val="18"/>
              </w:rPr>
            </w:pPr>
          </w:p>
        </w:tc>
      </w:tr>
      <w:tr w:rsidR="00212FD6" w:rsidRPr="00F35131" w14:paraId="103E0A92" w14:textId="77777777" w:rsidTr="00B35915">
        <w:trPr>
          <w:trHeight w:val="1319"/>
        </w:trPr>
        <w:tc>
          <w:tcPr>
            <w:tcW w:w="6546" w:type="dxa"/>
          </w:tcPr>
          <w:p w14:paraId="4BFA931E" w14:textId="77777777" w:rsidR="00B35915" w:rsidRPr="00F35131" w:rsidRDefault="00B35915" w:rsidP="00F35131">
            <w:pPr>
              <w:pStyle w:val="Akapitzlist"/>
              <w:numPr>
                <w:ilvl w:val="0"/>
                <w:numId w:val="11"/>
              </w:numPr>
              <w:spacing w:line="247" w:lineRule="auto"/>
              <w:ind w:right="54"/>
              <w:rPr>
                <w:rFonts w:eastAsia="Trebuchet MS" w:cstheme="minorHAnsi"/>
                <w:szCs w:val="28"/>
              </w:rPr>
            </w:pPr>
            <w:r w:rsidRPr="00F35131">
              <w:rPr>
                <w:rFonts w:eastAsia="Trebuchet MS" w:cstheme="minorHAnsi"/>
                <w:szCs w:val="28"/>
              </w:rPr>
              <w:t>Basics of case study methods</w:t>
            </w:r>
          </w:p>
          <w:p w14:paraId="66EAB71E" w14:textId="77777777" w:rsidR="00B35915" w:rsidRPr="00F35131" w:rsidRDefault="00B35915" w:rsidP="00F35131">
            <w:pPr>
              <w:pStyle w:val="Akapitzlist"/>
              <w:numPr>
                <w:ilvl w:val="0"/>
                <w:numId w:val="11"/>
              </w:numPr>
              <w:spacing w:line="247" w:lineRule="auto"/>
              <w:ind w:right="54"/>
              <w:rPr>
                <w:rFonts w:eastAsia="Trebuchet MS" w:cstheme="minorHAnsi"/>
                <w:szCs w:val="28"/>
              </w:rPr>
            </w:pPr>
            <w:r w:rsidRPr="00F35131">
              <w:rPr>
                <w:rFonts w:eastAsia="Trebuchet MS" w:cstheme="minorHAnsi"/>
                <w:szCs w:val="28"/>
              </w:rPr>
              <w:t>Theorizing explanations of particular outcomes</w:t>
            </w:r>
          </w:p>
          <w:p w14:paraId="557FF634" w14:textId="77777777" w:rsidR="00B35915" w:rsidRPr="00F35131" w:rsidRDefault="00B35915" w:rsidP="00F35131">
            <w:pPr>
              <w:pStyle w:val="Akapitzlist"/>
              <w:numPr>
                <w:ilvl w:val="0"/>
                <w:numId w:val="11"/>
              </w:numPr>
              <w:spacing w:line="247" w:lineRule="auto"/>
              <w:ind w:right="54"/>
              <w:rPr>
                <w:rFonts w:eastAsia="Trebuchet MS" w:cstheme="minorHAnsi"/>
                <w:szCs w:val="28"/>
              </w:rPr>
            </w:pPr>
            <w:r w:rsidRPr="00F35131">
              <w:rPr>
                <w:rFonts w:eastAsia="Trebuchet MS" w:cstheme="minorHAnsi"/>
                <w:szCs w:val="28"/>
              </w:rPr>
              <w:t>How to evidence within-case claims</w:t>
            </w:r>
          </w:p>
          <w:p w14:paraId="7424E65A" w14:textId="02110134" w:rsidR="00212FD6" w:rsidRPr="00F35131" w:rsidRDefault="00B35915" w:rsidP="00F35131">
            <w:pPr>
              <w:pStyle w:val="Akapitzlist"/>
              <w:numPr>
                <w:ilvl w:val="0"/>
                <w:numId w:val="11"/>
              </w:numPr>
              <w:spacing w:line="247" w:lineRule="auto"/>
              <w:ind w:right="54"/>
              <w:rPr>
                <w:rFonts w:eastAsia="Trebuchet MS" w:cstheme="minorHAnsi"/>
                <w:szCs w:val="28"/>
                <w:lang w:val="en-GB"/>
              </w:rPr>
            </w:pPr>
            <w:r w:rsidRPr="00F35131">
              <w:rPr>
                <w:rFonts w:eastAsia="Trebuchet MS" w:cstheme="minorHAnsi"/>
                <w:szCs w:val="28"/>
                <w:lang w:val="en-GB"/>
              </w:rPr>
              <w:t>How relevant cases can be selected and how claims can be generalized</w:t>
            </w:r>
          </w:p>
        </w:tc>
        <w:tc>
          <w:tcPr>
            <w:tcW w:w="2594" w:type="dxa"/>
          </w:tcPr>
          <w:p w14:paraId="6793129D" w14:textId="7226F0F1" w:rsidR="00212FD6" w:rsidRPr="00165E8D" w:rsidRDefault="00B35915" w:rsidP="00F35131">
            <w:pPr>
              <w:spacing w:before="151"/>
              <w:ind w:left="82"/>
              <w:rPr>
                <w:rFonts w:eastAsia="Trebuchet MS" w:cstheme="minorHAnsi"/>
                <w:szCs w:val="28"/>
                <w:lang w:val="en-GB"/>
              </w:rPr>
            </w:pPr>
            <w:r w:rsidRPr="00F35131">
              <w:rPr>
                <w:rFonts w:eastAsia="Trebuchet MS" w:cstheme="minorHAnsi"/>
                <w:lang w:val="en-GB"/>
              </w:rPr>
              <w:t>Active participation and home assignment</w:t>
            </w:r>
            <w:r w:rsidRPr="00B35915">
              <w:rPr>
                <w:rFonts w:eastAsia="Trebuchet MS" w:cstheme="minorHAnsi"/>
                <w:szCs w:val="28"/>
                <w:lang w:val="en-GB"/>
              </w:rPr>
              <w:t xml:space="preserve"> </w:t>
            </w:r>
          </w:p>
        </w:tc>
      </w:tr>
      <w:tr w:rsidR="00212FD6" w:rsidRPr="00212FD6" w14:paraId="109A57C0" w14:textId="77777777" w:rsidTr="0053082E">
        <w:trPr>
          <w:trHeight w:val="351"/>
        </w:trPr>
        <w:tc>
          <w:tcPr>
            <w:tcW w:w="6546" w:type="dxa"/>
          </w:tcPr>
          <w:p w14:paraId="37284E58" w14:textId="77777777" w:rsidR="00212FD6" w:rsidRPr="00212FD6" w:rsidRDefault="00212FD6" w:rsidP="00212FD6">
            <w:pPr>
              <w:spacing w:before="76"/>
              <w:ind w:left="82"/>
              <w:rPr>
                <w:rFonts w:eastAsia="Trebuchet MS" w:cstheme="minorHAnsi"/>
                <w:szCs w:val="28"/>
              </w:rPr>
            </w:pPr>
            <w:r w:rsidRPr="00212FD6">
              <w:rPr>
                <w:rFonts w:ascii="Trebuchet MS" w:eastAsia="Trebuchet MS" w:hAnsi="Trebuchet MS" w:cs="Trebuchet MS"/>
                <w:b/>
                <w:w w:val="110"/>
                <w:sz w:val="18"/>
              </w:rPr>
              <w:t>Skills – Student can:</w:t>
            </w:r>
          </w:p>
        </w:tc>
        <w:tc>
          <w:tcPr>
            <w:tcW w:w="2594" w:type="dxa"/>
          </w:tcPr>
          <w:p w14:paraId="20524E80" w14:textId="77777777" w:rsidR="00212FD6" w:rsidRPr="00212FD6" w:rsidRDefault="00212FD6" w:rsidP="00212FD6">
            <w:pPr>
              <w:spacing w:before="1"/>
              <w:rPr>
                <w:rFonts w:eastAsia="Trebuchet MS" w:cstheme="minorHAnsi"/>
                <w:b/>
                <w:szCs w:val="28"/>
              </w:rPr>
            </w:pPr>
          </w:p>
        </w:tc>
      </w:tr>
      <w:tr w:rsidR="00212FD6" w:rsidRPr="00F35131" w14:paraId="3FA0C105" w14:textId="77777777" w:rsidTr="00B35915">
        <w:trPr>
          <w:trHeight w:val="890"/>
        </w:trPr>
        <w:tc>
          <w:tcPr>
            <w:tcW w:w="6546" w:type="dxa"/>
          </w:tcPr>
          <w:p w14:paraId="765E7974" w14:textId="6167D1A0" w:rsidR="00212FD6" w:rsidRPr="00212FD6" w:rsidRDefault="00B35915" w:rsidP="00F35131">
            <w:pPr>
              <w:spacing w:before="168"/>
              <w:ind w:left="82"/>
              <w:rPr>
                <w:rFonts w:eastAsia="Trebuchet MS" w:cstheme="minorHAnsi"/>
                <w:b/>
                <w:szCs w:val="28"/>
                <w:highlight w:val="yellow"/>
              </w:rPr>
            </w:pPr>
            <w:r w:rsidRPr="00F35131">
              <w:rPr>
                <w:rFonts w:eastAsia="Trebuchet MS" w:cstheme="minorHAnsi"/>
                <w:szCs w:val="28"/>
                <w:lang w:val="en-GB"/>
              </w:rPr>
              <w:t>Design and conduct case studies</w:t>
            </w:r>
          </w:p>
        </w:tc>
        <w:tc>
          <w:tcPr>
            <w:tcW w:w="2594" w:type="dxa"/>
          </w:tcPr>
          <w:p w14:paraId="6C882FDA" w14:textId="1FED6ACD" w:rsidR="00212FD6" w:rsidRPr="00212FD6" w:rsidRDefault="00B35915" w:rsidP="00B35915">
            <w:pPr>
              <w:spacing w:before="168"/>
              <w:ind w:left="82"/>
              <w:rPr>
                <w:rFonts w:eastAsia="Trebuchet MS" w:cstheme="minorHAnsi"/>
                <w:szCs w:val="28"/>
                <w:lang w:val="en-GB"/>
              </w:rPr>
            </w:pPr>
            <w:r w:rsidRPr="00B35915">
              <w:rPr>
                <w:rFonts w:eastAsia="Trebuchet MS" w:cstheme="minorHAnsi"/>
                <w:szCs w:val="28"/>
                <w:lang w:val="en-GB"/>
              </w:rPr>
              <w:t>Active participation and hom</w:t>
            </w:r>
            <w:r>
              <w:rPr>
                <w:rFonts w:eastAsia="Trebuchet MS" w:cstheme="minorHAnsi"/>
                <w:szCs w:val="28"/>
                <w:lang w:val="en-GB"/>
              </w:rPr>
              <w:t>e</w:t>
            </w:r>
            <w:r w:rsidRPr="00B35915">
              <w:rPr>
                <w:rFonts w:eastAsia="Trebuchet MS" w:cstheme="minorHAnsi"/>
                <w:szCs w:val="28"/>
                <w:lang w:val="en-GB"/>
              </w:rPr>
              <w:t xml:space="preserve"> assignment </w:t>
            </w:r>
          </w:p>
        </w:tc>
      </w:tr>
      <w:tr w:rsidR="00212FD6" w:rsidRPr="00F35131" w14:paraId="2F1E6E79" w14:textId="77777777" w:rsidTr="0053082E">
        <w:trPr>
          <w:trHeight w:val="351"/>
        </w:trPr>
        <w:tc>
          <w:tcPr>
            <w:tcW w:w="6546" w:type="dxa"/>
          </w:tcPr>
          <w:p w14:paraId="1519BC5A" w14:textId="77777777" w:rsidR="00212FD6" w:rsidRPr="00212FD6" w:rsidRDefault="00212FD6" w:rsidP="00212FD6">
            <w:pPr>
              <w:spacing w:before="76"/>
              <w:ind w:left="82"/>
              <w:rPr>
                <w:rFonts w:eastAsia="Trebuchet MS" w:cstheme="minorHAnsi"/>
                <w:szCs w:val="28"/>
                <w:lang w:val="en-GB"/>
              </w:rPr>
            </w:pPr>
            <w:r w:rsidRPr="00212FD6">
              <w:rPr>
                <w:rFonts w:ascii="Trebuchet MS" w:eastAsia="Trebuchet MS" w:hAnsi="Trebuchet MS" w:cs="Trebuchet MS"/>
                <w:b/>
                <w:w w:val="110"/>
                <w:sz w:val="18"/>
              </w:rPr>
              <w:t>Social competences – Student is ready to:</w:t>
            </w:r>
          </w:p>
        </w:tc>
        <w:tc>
          <w:tcPr>
            <w:tcW w:w="2594" w:type="dxa"/>
          </w:tcPr>
          <w:p w14:paraId="175B92E1" w14:textId="77777777" w:rsidR="00212FD6" w:rsidRPr="00212FD6" w:rsidRDefault="00212FD6" w:rsidP="00212FD6">
            <w:pPr>
              <w:rPr>
                <w:rFonts w:eastAsia="Trebuchet MS" w:cstheme="minorHAnsi"/>
                <w:b/>
                <w:szCs w:val="28"/>
              </w:rPr>
            </w:pPr>
          </w:p>
        </w:tc>
      </w:tr>
      <w:tr w:rsidR="00212FD6" w:rsidRPr="00212FD6" w14:paraId="09115759" w14:textId="77777777" w:rsidTr="00B35915">
        <w:trPr>
          <w:trHeight w:val="468"/>
        </w:trPr>
        <w:tc>
          <w:tcPr>
            <w:tcW w:w="6546" w:type="dxa"/>
          </w:tcPr>
          <w:p w14:paraId="138FF5E7" w14:textId="14EA6A15" w:rsidR="00212FD6" w:rsidRPr="00212FD6" w:rsidRDefault="003F0151" w:rsidP="00F35131">
            <w:pPr>
              <w:ind w:left="82"/>
              <w:rPr>
                <w:rFonts w:eastAsia="Trebuchet MS" w:cstheme="minorHAnsi"/>
                <w:szCs w:val="28"/>
                <w:lang w:val="en-GB"/>
              </w:rPr>
            </w:pPr>
            <w:r w:rsidRPr="003F0151">
              <w:rPr>
                <w:rFonts w:eastAsia="Trebuchet MS" w:cstheme="minorHAnsi"/>
                <w:szCs w:val="28"/>
                <w:lang w:val="en-GB"/>
              </w:rPr>
              <w:t>Participate in groupwork and be active in class discussions</w:t>
            </w:r>
          </w:p>
        </w:tc>
        <w:tc>
          <w:tcPr>
            <w:tcW w:w="2594" w:type="dxa"/>
          </w:tcPr>
          <w:p w14:paraId="6F2F6A63" w14:textId="390BCDFE" w:rsidR="00212FD6" w:rsidRPr="00212FD6" w:rsidRDefault="00B35915" w:rsidP="00B35915">
            <w:pPr>
              <w:ind w:left="82"/>
              <w:rPr>
                <w:rFonts w:eastAsia="Trebuchet MS" w:cstheme="minorHAnsi"/>
                <w:szCs w:val="28"/>
                <w:lang w:val="pl-PL"/>
              </w:rPr>
            </w:pPr>
            <w:r w:rsidRPr="00B35915">
              <w:rPr>
                <w:rFonts w:eastAsia="Trebuchet MS" w:cstheme="minorHAnsi"/>
                <w:szCs w:val="28"/>
                <w:lang w:val="en-GB"/>
              </w:rPr>
              <w:t>Active participation</w:t>
            </w:r>
          </w:p>
        </w:tc>
      </w:tr>
    </w:tbl>
    <w:p w14:paraId="79509CB6" w14:textId="77777777" w:rsidR="00212FD6" w:rsidRPr="00212FD6" w:rsidRDefault="00212FD6" w:rsidP="00212FD6">
      <w:pPr>
        <w:rPr>
          <w:highlight w:val="yellow"/>
          <w:lang w:val="en-GB"/>
        </w:rPr>
      </w:pPr>
    </w:p>
    <w:p w14:paraId="60403F79" w14:textId="77777777" w:rsidR="00B35915" w:rsidRDefault="00B35915" w:rsidP="00212FD6">
      <w:pPr>
        <w:jc w:val="center"/>
        <w:rPr>
          <w:b/>
          <w:bCs/>
          <w:sz w:val="28"/>
          <w:szCs w:val="28"/>
          <w:lang w:val="en-GB"/>
        </w:rPr>
      </w:pPr>
    </w:p>
    <w:p w14:paraId="7E71B4D8" w14:textId="77777777" w:rsidR="00B35915" w:rsidRDefault="00B35915" w:rsidP="00F35131">
      <w:pPr>
        <w:rPr>
          <w:b/>
          <w:bCs/>
          <w:sz w:val="28"/>
          <w:szCs w:val="28"/>
          <w:lang w:val="en-GB"/>
        </w:rPr>
      </w:pPr>
    </w:p>
    <w:p w14:paraId="2498F8D7" w14:textId="3F8C24EF" w:rsidR="00212FD6" w:rsidRPr="00212FD6" w:rsidRDefault="00212FD6" w:rsidP="00212FD6">
      <w:pPr>
        <w:jc w:val="center"/>
        <w:rPr>
          <w:b/>
          <w:bCs/>
          <w:sz w:val="28"/>
          <w:szCs w:val="28"/>
          <w:lang w:val="en-GB"/>
        </w:rPr>
      </w:pPr>
      <w:r w:rsidRPr="00212FD6">
        <w:rPr>
          <w:b/>
          <w:bCs/>
          <w:sz w:val="28"/>
          <w:szCs w:val="28"/>
          <w:lang w:val="en-GB"/>
        </w:rPr>
        <w:t>Calculation of ECTS points</w:t>
      </w:r>
    </w:p>
    <w:tbl>
      <w:tblPr>
        <w:tblStyle w:val="TableNormal"/>
        <w:tblW w:w="9123" w:type="dxa"/>
        <w:tblInd w:w="1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3388"/>
        <w:gridCol w:w="2709"/>
        <w:gridCol w:w="3026"/>
      </w:tblGrid>
      <w:tr w:rsidR="00212FD6" w:rsidRPr="00212FD6" w14:paraId="178C1CA0" w14:textId="77777777" w:rsidTr="0053082E">
        <w:trPr>
          <w:trHeight w:val="380"/>
        </w:trPr>
        <w:tc>
          <w:tcPr>
            <w:tcW w:w="3388" w:type="dxa"/>
          </w:tcPr>
          <w:p w14:paraId="1B8F1A5D" w14:textId="77777777" w:rsidR="00212FD6" w:rsidRPr="00212FD6" w:rsidRDefault="00212FD6" w:rsidP="00212FD6">
            <w:pPr>
              <w:spacing w:before="76"/>
              <w:ind w:left="82"/>
              <w:rPr>
                <w:rFonts w:eastAsia="Trebuchet MS" w:cstheme="minorHAnsi"/>
                <w:b/>
                <w:szCs w:val="28"/>
              </w:rPr>
            </w:pPr>
            <w:r w:rsidRPr="00212FD6">
              <w:rPr>
                <w:rFonts w:eastAsia="Trebuchet MS" w:cstheme="minorHAnsi"/>
                <w:b/>
                <w:w w:val="105"/>
                <w:szCs w:val="28"/>
              </w:rPr>
              <w:t>Activity</w:t>
            </w:r>
            <w:r w:rsidRPr="00212FD6">
              <w:rPr>
                <w:rFonts w:eastAsia="Trebuchet MS" w:cstheme="minorHAnsi"/>
                <w:b/>
                <w:spacing w:val="7"/>
                <w:w w:val="105"/>
                <w:szCs w:val="28"/>
              </w:rPr>
              <w:t xml:space="preserve"> </w:t>
            </w:r>
            <w:r w:rsidRPr="00212FD6">
              <w:rPr>
                <w:rFonts w:eastAsia="Trebuchet MS" w:cstheme="minorHAnsi"/>
                <w:b/>
                <w:w w:val="105"/>
                <w:szCs w:val="28"/>
              </w:rPr>
              <w:t>form</w:t>
            </w:r>
          </w:p>
        </w:tc>
        <w:tc>
          <w:tcPr>
            <w:tcW w:w="5734" w:type="dxa"/>
            <w:gridSpan w:val="2"/>
          </w:tcPr>
          <w:p w14:paraId="5BF3157C" w14:textId="77777777" w:rsidR="00212FD6" w:rsidRPr="00212FD6" w:rsidRDefault="00212FD6" w:rsidP="00212FD6">
            <w:pPr>
              <w:spacing w:before="76"/>
              <w:ind w:left="82"/>
              <w:rPr>
                <w:rFonts w:eastAsia="Trebuchet MS" w:cstheme="minorHAnsi"/>
                <w:b/>
                <w:szCs w:val="28"/>
              </w:rPr>
            </w:pPr>
            <w:r w:rsidRPr="00212FD6">
              <w:rPr>
                <w:rFonts w:eastAsia="Trebuchet MS" w:cstheme="minorHAnsi"/>
                <w:b/>
                <w:w w:val="110"/>
                <w:szCs w:val="28"/>
              </w:rPr>
              <w:t>Activity</w:t>
            </w:r>
            <w:r w:rsidRPr="00212FD6">
              <w:rPr>
                <w:rFonts w:eastAsia="Trebuchet MS" w:cstheme="minorHAnsi"/>
                <w:b/>
                <w:spacing w:val="-13"/>
                <w:w w:val="110"/>
                <w:szCs w:val="28"/>
              </w:rPr>
              <w:t xml:space="preserve"> </w:t>
            </w:r>
            <w:r w:rsidRPr="00212FD6">
              <w:rPr>
                <w:rFonts w:eastAsia="Trebuchet MS" w:cstheme="minorHAnsi"/>
                <w:b/>
                <w:w w:val="110"/>
                <w:szCs w:val="28"/>
              </w:rPr>
              <w:t>hours*</w:t>
            </w:r>
          </w:p>
        </w:tc>
      </w:tr>
      <w:tr w:rsidR="00212FD6" w:rsidRPr="00212FD6" w14:paraId="25192595" w14:textId="77777777" w:rsidTr="0053082E">
        <w:trPr>
          <w:trHeight w:val="535"/>
        </w:trPr>
        <w:tc>
          <w:tcPr>
            <w:tcW w:w="3388" w:type="dxa"/>
          </w:tcPr>
          <w:p w14:paraId="7532F326" w14:textId="77777777" w:rsidR="00212FD6" w:rsidRPr="00212FD6" w:rsidRDefault="00212FD6" w:rsidP="00212FD6">
            <w:pPr>
              <w:spacing w:before="151"/>
              <w:ind w:left="82"/>
              <w:rPr>
                <w:rFonts w:eastAsia="Trebuchet MS" w:cstheme="minorHAnsi"/>
                <w:szCs w:val="28"/>
              </w:rPr>
            </w:pPr>
            <w:r w:rsidRPr="00212FD6">
              <w:rPr>
                <w:rFonts w:eastAsia="Trebuchet MS" w:cstheme="minorHAnsi"/>
                <w:szCs w:val="28"/>
              </w:rPr>
              <w:t>Lecture</w:t>
            </w:r>
          </w:p>
        </w:tc>
        <w:tc>
          <w:tcPr>
            <w:tcW w:w="5734" w:type="dxa"/>
            <w:gridSpan w:val="2"/>
          </w:tcPr>
          <w:p w14:paraId="3EA6EE84" w14:textId="77777777" w:rsidR="00212FD6" w:rsidRPr="00212FD6" w:rsidRDefault="00212FD6" w:rsidP="00212FD6">
            <w:pPr>
              <w:spacing w:before="151"/>
              <w:ind w:left="2423" w:right="2410"/>
              <w:jc w:val="center"/>
              <w:rPr>
                <w:rFonts w:eastAsia="Trebuchet MS" w:cstheme="minorHAnsi"/>
                <w:szCs w:val="28"/>
              </w:rPr>
            </w:pPr>
            <w:r w:rsidRPr="00212FD6">
              <w:rPr>
                <w:rFonts w:eastAsia="Trebuchet MS" w:cstheme="minorHAnsi"/>
                <w:szCs w:val="28"/>
              </w:rPr>
              <w:t>6</w:t>
            </w:r>
          </w:p>
        </w:tc>
      </w:tr>
      <w:tr w:rsidR="00212FD6" w:rsidRPr="00212FD6" w14:paraId="296BEFE0" w14:textId="77777777" w:rsidTr="0053082E">
        <w:trPr>
          <w:trHeight w:val="534"/>
        </w:trPr>
        <w:tc>
          <w:tcPr>
            <w:tcW w:w="3388" w:type="dxa"/>
          </w:tcPr>
          <w:p w14:paraId="50C3809F" w14:textId="77777777" w:rsidR="00212FD6" w:rsidRPr="00212FD6" w:rsidRDefault="00212FD6" w:rsidP="00212FD6">
            <w:pPr>
              <w:spacing w:before="151"/>
              <w:ind w:left="82"/>
              <w:rPr>
                <w:rFonts w:eastAsia="Trebuchet MS" w:cstheme="minorHAnsi"/>
                <w:szCs w:val="28"/>
              </w:rPr>
            </w:pPr>
            <w:r w:rsidRPr="00212FD6">
              <w:rPr>
                <w:rFonts w:eastAsia="Trebuchet MS" w:cstheme="minorHAnsi"/>
                <w:szCs w:val="28"/>
              </w:rPr>
              <w:t>preparation for</w:t>
            </w:r>
            <w:r w:rsidRPr="00212FD6">
              <w:rPr>
                <w:rFonts w:eastAsia="Trebuchet MS" w:cstheme="minorHAnsi"/>
                <w:spacing w:val="1"/>
                <w:szCs w:val="28"/>
              </w:rPr>
              <w:t xml:space="preserve"> </w:t>
            </w:r>
            <w:r w:rsidRPr="00212FD6">
              <w:rPr>
                <w:rFonts w:eastAsia="Trebuchet MS" w:cstheme="minorHAnsi"/>
                <w:szCs w:val="28"/>
              </w:rPr>
              <w:t>classes</w:t>
            </w:r>
          </w:p>
        </w:tc>
        <w:tc>
          <w:tcPr>
            <w:tcW w:w="5734" w:type="dxa"/>
            <w:gridSpan w:val="2"/>
          </w:tcPr>
          <w:p w14:paraId="772A3624" w14:textId="0FCB94B6" w:rsidR="00212FD6" w:rsidRPr="00212FD6" w:rsidRDefault="00212FD6" w:rsidP="00212FD6">
            <w:pPr>
              <w:spacing w:before="151"/>
              <w:ind w:left="2423" w:right="2410"/>
              <w:jc w:val="center"/>
              <w:rPr>
                <w:rFonts w:eastAsia="Trebuchet MS" w:cstheme="minorHAnsi"/>
                <w:szCs w:val="28"/>
              </w:rPr>
            </w:pPr>
            <w:r w:rsidRPr="00212FD6">
              <w:rPr>
                <w:rFonts w:eastAsia="Trebuchet MS" w:cstheme="minorHAnsi"/>
                <w:szCs w:val="28"/>
              </w:rPr>
              <w:t>1</w:t>
            </w:r>
            <w:r w:rsidR="00AF0CF3" w:rsidRPr="00AF0CF3">
              <w:rPr>
                <w:rFonts w:eastAsia="Trebuchet MS" w:cstheme="minorHAnsi"/>
                <w:szCs w:val="28"/>
              </w:rPr>
              <w:t>5</w:t>
            </w:r>
          </w:p>
        </w:tc>
      </w:tr>
      <w:tr w:rsidR="00212FD6" w:rsidRPr="00212FD6" w14:paraId="45FC677D" w14:textId="77777777" w:rsidTr="0053082E">
        <w:trPr>
          <w:trHeight w:val="534"/>
        </w:trPr>
        <w:tc>
          <w:tcPr>
            <w:tcW w:w="3388" w:type="dxa"/>
          </w:tcPr>
          <w:p w14:paraId="2CDE3453" w14:textId="77777777" w:rsidR="00212FD6" w:rsidRPr="00212FD6" w:rsidRDefault="00212FD6" w:rsidP="00212FD6">
            <w:pPr>
              <w:spacing w:before="151"/>
              <w:ind w:left="82"/>
              <w:rPr>
                <w:rFonts w:eastAsia="Trebuchet MS" w:cstheme="minorHAnsi"/>
                <w:szCs w:val="28"/>
              </w:rPr>
            </w:pPr>
            <w:r w:rsidRPr="00212FD6">
              <w:rPr>
                <w:rFonts w:eastAsia="Trebuchet MS" w:cstheme="minorHAnsi"/>
                <w:szCs w:val="28"/>
              </w:rPr>
              <w:t>preparation</w:t>
            </w:r>
            <w:r w:rsidRPr="00212FD6">
              <w:rPr>
                <w:rFonts w:eastAsia="Trebuchet MS" w:cstheme="minorHAnsi"/>
                <w:spacing w:val="-4"/>
                <w:szCs w:val="28"/>
              </w:rPr>
              <w:t xml:space="preserve"> </w:t>
            </w:r>
            <w:r w:rsidRPr="00212FD6">
              <w:rPr>
                <w:rFonts w:eastAsia="Trebuchet MS" w:cstheme="minorHAnsi"/>
                <w:szCs w:val="28"/>
              </w:rPr>
              <w:t>for</w:t>
            </w:r>
            <w:r w:rsidRPr="00212FD6">
              <w:rPr>
                <w:rFonts w:eastAsia="Trebuchet MS" w:cstheme="minorHAnsi"/>
                <w:spacing w:val="-4"/>
                <w:szCs w:val="28"/>
              </w:rPr>
              <w:t xml:space="preserve"> </w:t>
            </w:r>
            <w:r w:rsidRPr="00212FD6">
              <w:rPr>
                <w:rFonts w:eastAsia="Trebuchet MS" w:cstheme="minorHAnsi"/>
                <w:szCs w:val="28"/>
              </w:rPr>
              <w:t>the</w:t>
            </w:r>
            <w:r w:rsidRPr="00212FD6">
              <w:rPr>
                <w:rFonts w:eastAsia="Trebuchet MS" w:cstheme="minorHAnsi"/>
                <w:spacing w:val="-4"/>
                <w:szCs w:val="28"/>
              </w:rPr>
              <w:t xml:space="preserve"> </w:t>
            </w:r>
            <w:r w:rsidRPr="00212FD6">
              <w:rPr>
                <w:rFonts w:eastAsia="Trebuchet MS" w:cstheme="minorHAnsi"/>
                <w:szCs w:val="28"/>
              </w:rPr>
              <w:t>exam</w:t>
            </w:r>
          </w:p>
        </w:tc>
        <w:tc>
          <w:tcPr>
            <w:tcW w:w="5734" w:type="dxa"/>
            <w:gridSpan w:val="2"/>
          </w:tcPr>
          <w:p w14:paraId="638A26B9" w14:textId="35AE89F1" w:rsidR="00212FD6" w:rsidRPr="00212FD6" w:rsidRDefault="00F35131" w:rsidP="00212FD6">
            <w:pPr>
              <w:spacing w:before="151"/>
              <w:ind w:left="2423" w:right="2410"/>
              <w:jc w:val="center"/>
              <w:rPr>
                <w:rFonts w:eastAsia="Trebuchet MS" w:cstheme="minorHAnsi"/>
                <w:szCs w:val="28"/>
              </w:rPr>
            </w:pPr>
            <w:r>
              <w:rPr>
                <w:rFonts w:eastAsia="Trebuchet MS" w:cstheme="minorHAnsi"/>
                <w:szCs w:val="28"/>
              </w:rPr>
              <w:t>5</w:t>
            </w:r>
          </w:p>
        </w:tc>
      </w:tr>
      <w:tr w:rsidR="00212FD6" w:rsidRPr="00212FD6" w14:paraId="4C3E2DE4" w14:textId="77777777" w:rsidTr="0053082E">
        <w:trPr>
          <w:trHeight w:val="155"/>
        </w:trPr>
        <w:tc>
          <w:tcPr>
            <w:tcW w:w="9123" w:type="dxa"/>
            <w:gridSpan w:val="3"/>
          </w:tcPr>
          <w:p w14:paraId="7F1B0FE8" w14:textId="77777777" w:rsidR="00212FD6" w:rsidRPr="00212FD6" w:rsidRDefault="00212FD6" w:rsidP="00212FD6">
            <w:pPr>
              <w:rPr>
                <w:rFonts w:eastAsia="Trebuchet MS" w:cstheme="minorHAnsi"/>
                <w:szCs w:val="28"/>
                <w:highlight w:val="yellow"/>
              </w:rPr>
            </w:pPr>
          </w:p>
        </w:tc>
      </w:tr>
      <w:tr w:rsidR="00212FD6" w:rsidRPr="00212FD6" w14:paraId="5B684893" w14:textId="77777777" w:rsidTr="0053082E">
        <w:trPr>
          <w:trHeight w:val="605"/>
        </w:trPr>
        <w:tc>
          <w:tcPr>
            <w:tcW w:w="3388" w:type="dxa"/>
          </w:tcPr>
          <w:p w14:paraId="0873725A" w14:textId="77777777" w:rsidR="00212FD6" w:rsidRPr="00212FD6" w:rsidRDefault="00212FD6" w:rsidP="00212FD6">
            <w:pPr>
              <w:spacing w:before="10"/>
              <w:rPr>
                <w:rFonts w:eastAsia="Trebuchet MS" w:cstheme="minorHAnsi"/>
                <w:b/>
                <w:szCs w:val="28"/>
              </w:rPr>
            </w:pPr>
          </w:p>
          <w:p w14:paraId="4FF69719" w14:textId="77777777" w:rsidR="00212FD6" w:rsidRPr="00212FD6" w:rsidRDefault="00212FD6" w:rsidP="00212FD6">
            <w:pPr>
              <w:ind w:left="82"/>
              <w:rPr>
                <w:rFonts w:eastAsia="Trebuchet MS" w:cstheme="minorHAnsi"/>
                <w:b/>
                <w:szCs w:val="28"/>
              </w:rPr>
            </w:pPr>
            <w:r w:rsidRPr="00212FD6">
              <w:rPr>
                <w:rFonts w:eastAsia="Trebuchet MS" w:cstheme="minorHAnsi"/>
                <w:b/>
                <w:w w:val="110"/>
                <w:szCs w:val="28"/>
              </w:rPr>
              <w:t>Student</w:t>
            </w:r>
            <w:r w:rsidRPr="00212FD6">
              <w:rPr>
                <w:rFonts w:eastAsia="Trebuchet MS" w:cstheme="minorHAnsi"/>
                <w:b/>
                <w:spacing w:val="-6"/>
                <w:w w:val="110"/>
                <w:szCs w:val="28"/>
              </w:rPr>
              <w:t xml:space="preserve"> </w:t>
            </w:r>
            <w:r w:rsidRPr="00212FD6">
              <w:rPr>
                <w:rFonts w:eastAsia="Trebuchet MS" w:cstheme="minorHAnsi"/>
                <w:b/>
                <w:w w:val="110"/>
                <w:szCs w:val="28"/>
              </w:rPr>
              <w:t>workload</w:t>
            </w:r>
          </w:p>
        </w:tc>
        <w:tc>
          <w:tcPr>
            <w:tcW w:w="2709" w:type="dxa"/>
          </w:tcPr>
          <w:p w14:paraId="420F80F5" w14:textId="77777777" w:rsidR="00212FD6" w:rsidRPr="00212FD6" w:rsidRDefault="00212FD6" w:rsidP="00212FD6">
            <w:pPr>
              <w:spacing w:before="76"/>
              <w:ind w:left="1006" w:right="992"/>
              <w:jc w:val="center"/>
              <w:rPr>
                <w:rFonts w:eastAsia="Trebuchet MS" w:cstheme="minorHAnsi"/>
                <w:b/>
                <w:szCs w:val="28"/>
              </w:rPr>
            </w:pPr>
            <w:r w:rsidRPr="00212FD6">
              <w:rPr>
                <w:rFonts w:eastAsia="Trebuchet MS" w:cstheme="minorHAnsi"/>
                <w:b/>
                <w:w w:val="110"/>
                <w:szCs w:val="28"/>
              </w:rPr>
              <w:t>Hours</w:t>
            </w:r>
          </w:p>
          <w:p w14:paraId="67D31FE7" w14:textId="7537829B" w:rsidR="00212FD6" w:rsidRPr="00212FD6" w:rsidRDefault="00212FD6" w:rsidP="00212FD6">
            <w:pPr>
              <w:spacing w:before="7"/>
              <w:ind w:left="1006" w:right="992"/>
              <w:jc w:val="center"/>
              <w:rPr>
                <w:rFonts w:eastAsia="Trebuchet MS" w:cstheme="minorHAnsi"/>
                <w:szCs w:val="28"/>
              </w:rPr>
            </w:pPr>
            <w:r w:rsidRPr="00212FD6">
              <w:rPr>
                <w:rFonts w:eastAsia="Trebuchet MS" w:cstheme="minorHAnsi"/>
                <w:szCs w:val="28"/>
              </w:rPr>
              <w:t>2</w:t>
            </w:r>
            <w:r w:rsidR="00F35131">
              <w:rPr>
                <w:rFonts w:eastAsia="Trebuchet MS" w:cstheme="minorHAnsi"/>
                <w:szCs w:val="28"/>
              </w:rPr>
              <w:t>0</w:t>
            </w:r>
          </w:p>
        </w:tc>
        <w:tc>
          <w:tcPr>
            <w:tcW w:w="3025" w:type="dxa"/>
          </w:tcPr>
          <w:p w14:paraId="297BC626" w14:textId="77777777" w:rsidR="00212FD6" w:rsidRPr="00212FD6" w:rsidRDefault="00212FD6" w:rsidP="00212FD6">
            <w:pPr>
              <w:spacing w:before="76"/>
              <w:ind w:left="1004" w:right="991"/>
              <w:jc w:val="center"/>
              <w:rPr>
                <w:rFonts w:eastAsia="Trebuchet MS" w:cstheme="minorHAnsi"/>
                <w:b/>
                <w:szCs w:val="28"/>
              </w:rPr>
            </w:pPr>
            <w:r w:rsidRPr="00212FD6">
              <w:rPr>
                <w:rFonts w:eastAsia="Trebuchet MS" w:cstheme="minorHAnsi"/>
                <w:b/>
                <w:w w:val="110"/>
                <w:szCs w:val="28"/>
              </w:rPr>
              <w:t>ECTS</w:t>
            </w:r>
          </w:p>
          <w:p w14:paraId="0C6D627F" w14:textId="77777777" w:rsidR="00212FD6" w:rsidRPr="00212FD6" w:rsidRDefault="00212FD6" w:rsidP="00212FD6">
            <w:pPr>
              <w:spacing w:before="7"/>
              <w:ind w:left="1004" w:right="991"/>
              <w:jc w:val="center"/>
              <w:rPr>
                <w:rFonts w:eastAsia="Trebuchet MS" w:cstheme="minorHAnsi"/>
                <w:szCs w:val="28"/>
              </w:rPr>
            </w:pPr>
            <w:r w:rsidRPr="00212FD6">
              <w:rPr>
                <w:rFonts w:eastAsia="Trebuchet MS" w:cstheme="minorHAnsi"/>
                <w:szCs w:val="28"/>
              </w:rPr>
              <w:t>1</w:t>
            </w:r>
          </w:p>
        </w:tc>
      </w:tr>
      <w:tr w:rsidR="00212FD6" w:rsidRPr="00212FD6" w14:paraId="7AC31DBD" w14:textId="77777777" w:rsidTr="0053082E">
        <w:trPr>
          <w:trHeight w:val="603"/>
        </w:trPr>
        <w:tc>
          <w:tcPr>
            <w:tcW w:w="3388" w:type="dxa"/>
          </w:tcPr>
          <w:p w14:paraId="4AB51036" w14:textId="77777777" w:rsidR="00212FD6" w:rsidRPr="00212FD6" w:rsidRDefault="00212FD6" w:rsidP="00212FD6">
            <w:pPr>
              <w:spacing w:before="10"/>
              <w:rPr>
                <w:rFonts w:eastAsia="Trebuchet MS" w:cstheme="minorHAnsi"/>
                <w:b/>
                <w:szCs w:val="28"/>
              </w:rPr>
            </w:pPr>
          </w:p>
          <w:p w14:paraId="1F3BB52C" w14:textId="77777777" w:rsidR="00212FD6" w:rsidRPr="00212FD6" w:rsidRDefault="00212FD6" w:rsidP="00212FD6">
            <w:pPr>
              <w:ind w:left="82"/>
              <w:rPr>
                <w:rFonts w:eastAsia="Trebuchet MS" w:cstheme="minorHAnsi"/>
                <w:b/>
                <w:szCs w:val="28"/>
              </w:rPr>
            </w:pPr>
            <w:r w:rsidRPr="00212FD6">
              <w:rPr>
                <w:rFonts w:eastAsia="Trebuchet MS" w:cstheme="minorHAnsi"/>
                <w:b/>
                <w:w w:val="110"/>
                <w:szCs w:val="28"/>
              </w:rPr>
              <w:t>Workload</w:t>
            </w:r>
            <w:r w:rsidRPr="00212FD6">
              <w:rPr>
                <w:rFonts w:eastAsia="Trebuchet MS" w:cstheme="minorHAnsi"/>
                <w:b/>
                <w:spacing w:val="-13"/>
                <w:w w:val="110"/>
                <w:szCs w:val="28"/>
              </w:rPr>
              <w:t xml:space="preserve"> </w:t>
            </w:r>
            <w:r w:rsidRPr="00212FD6">
              <w:rPr>
                <w:rFonts w:eastAsia="Trebuchet MS" w:cstheme="minorHAnsi"/>
                <w:b/>
                <w:w w:val="110"/>
                <w:szCs w:val="28"/>
              </w:rPr>
              <w:t>involving</w:t>
            </w:r>
            <w:r w:rsidRPr="00212FD6">
              <w:rPr>
                <w:rFonts w:eastAsia="Trebuchet MS" w:cstheme="minorHAnsi"/>
                <w:b/>
                <w:spacing w:val="-13"/>
                <w:w w:val="110"/>
                <w:szCs w:val="28"/>
              </w:rPr>
              <w:t xml:space="preserve"> </w:t>
            </w:r>
            <w:r w:rsidRPr="00212FD6">
              <w:rPr>
                <w:rFonts w:eastAsia="Trebuchet MS" w:cstheme="minorHAnsi"/>
                <w:b/>
                <w:w w:val="110"/>
                <w:szCs w:val="28"/>
              </w:rPr>
              <w:t>teacher</w:t>
            </w:r>
          </w:p>
        </w:tc>
        <w:tc>
          <w:tcPr>
            <w:tcW w:w="2709" w:type="dxa"/>
          </w:tcPr>
          <w:p w14:paraId="50A20C62" w14:textId="77777777" w:rsidR="00212FD6" w:rsidRPr="00212FD6" w:rsidRDefault="00212FD6" w:rsidP="00212FD6">
            <w:pPr>
              <w:spacing w:before="76"/>
              <w:ind w:left="1006" w:right="992"/>
              <w:jc w:val="center"/>
              <w:rPr>
                <w:rFonts w:eastAsia="Trebuchet MS" w:cstheme="minorHAnsi"/>
                <w:b/>
                <w:szCs w:val="28"/>
              </w:rPr>
            </w:pPr>
            <w:r w:rsidRPr="00212FD6">
              <w:rPr>
                <w:rFonts w:eastAsia="Trebuchet MS" w:cstheme="minorHAnsi"/>
                <w:b/>
                <w:w w:val="110"/>
                <w:szCs w:val="28"/>
              </w:rPr>
              <w:t>Hours</w:t>
            </w:r>
          </w:p>
          <w:p w14:paraId="73C1FCAA" w14:textId="77777777" w:rsidR="00212FD6" w:rsidRPr="00212FD6" w:rsidRDefault="00212FD6" w:rsidP="00212FD6">
            <w:pPr>
              <w:spacing w:before="7"/>
              <w:ind w:left="1006" w:right="992"/>
              <w:jc w:val="center"/>
              <w:rPr>
                <w:rFonts w:eastAsia="Trebuchet MS" w:cstheme="minorHAnsi"/>
                <w:szCs w:val="28"/>
              </w:rPr>
            </w:pPr>
            <w:r w:rsidRPr="00212FD6">
              <w:rPr>
                <w:rFonts w:eastAsia="Trebuchet MS" w:cstheme="minorHAnsi"/>
                <w:szCs w:val="28"/>
              </w:rPr>
              <w:t>6</w:t>
            </w:r>
          </w:p>
        </w:tc>
        <w:tc>
          <w:tcPr>
            <w:tcW w:w="3025" w:type="dxa"/>
          </w:tcPr>
          <w:p w14:paraId="740709A1" w14:textId="77777777" w:rsidR="00212FD6" w:rsidRPr="00212FD6" w:rsidRDefault="00212FD6" w:rsidP="00212FD6">
            <w:pPr>
              <w:spacing w:before="76"/>
              <w:ind w:left="1004" w:right="991"/>
              <w:jc w:val="center"/>
              <w:rPr>
                <w:rFonts w:eastAsia="Trebuchet MS" w:cstheme="minorHAnsi"/>
                <w:b/>
                <w:szCs w:val="28"/>
              </w:rPr>
            </w:pPr>
            <w:r w:rsidRPr="00212FD6">
              <w:rPr>
                <w:rFonts w:eastAsia="Trebuchet MS" w:cstheme="minorHAnsi"/>
                <w:b/>
                <w:w w:val="110"/>
                <w:szCs w:val="28"/>
              </w:rPr>
              <w:t>ECTS</w:t>
            </w:r>
          </w:p>
          <w:p w14:paraId="4D0959B4" w14:textId="77777777" w:rsidR="00212FD6" w:rsidRPr="00212FD6" w:rsidRDefault="00212FD6" w:rsidP="00212FD6">
            <w:pPr>
              <w:spacing w:before="7"/>
              <w:ind w:left="1004" w:right="991"/>
              <w:jc w:val="center"/>
              <w:rPr>
                <w:rFonts w:eastAsia="Trebuchet MS" w:cstheme="minorHAnsi"/>
                <w:szCs w:val="28"/>
              </w:rPr>
            </w:pPr>
            <w:r w:rsidRPr="00212FD6">
              <w:rPr>
                <w:rFonts w:eastAsia="Trebuchet MS" w:cstheme="minorHAnsi"/>
                <w:szCs w:val="28"/>
              </w:rPr>
              <w:t>1</w:t>
            </w:r>
          </w:p>
        </w:tc>
      </w:tr>
    </w:tbl>
    <w:p w14:paraId="2A45C9A8" w14:textId="4DDC083F" w:rsidR="00212FD6" w:rsidRDefault="00212FD6" w:rsidP="00212FD6">
      <w:pPr>
        <w:rPr>
          <w:w w:val="105"/>
          <w:lang w:val="en-GB"/>
        </w:rPr>
      </w:pPr>
      <w:r w:rsidRPr="00212FD6">
        <w:rPr>
          <w:w w:val="105"/>
          <w:lang w:val="en-GB"/>
        </w:rPr>
        <w:t xml:space="preserve">  *hour</w:t>
      </w:r>
      <w:r w:rsidRPr="00212FD6">
        <w:rPr>
          <w:spacing w:val="-9"/>
          <w:w w:val="105"/>
          <w:lang w:val="en-GB"/>
        </w:rPr>
        <w:t xml:space="preserve"> </w:t>
      </w:r>
      <w:r w:rsidRPr="00212FD6">
        <w:rPr>
          <w:w w:val="105"/>
          <w:lang w:val="en-GB"/>
        </w:rPr>
        <w:t>means</w:t>
      </w:r>
      <w:r w:rsidRPr="00212FD6">
        <w:rPr>
          <w:spacing w:val="-9"/>
          <w:w w:val="105"/>
          <w:lang w:val="en-GB"/>
        </w:rPr>
        <w:t xml:space="preserve"> </w:t>
      </w:r>
      <w:r w:rsidRPr="00212FD6">
        <w:rPr>
          <w:w w:val="105"/>
          <w:lang w:val="en-GB"/>
        </w:rPr>
        <w:t>45</w:t>
      </w:r>
      <w:r w:rsidRPr="00212FD6">
        <w:rPr>
          <w:spacing w:val="-9"/>
          <w:w w:val="105"/>
          <w:lang w:val="en-GB"/>
        </w:rPr>
        <w:t xml:space="preserve"> </w:t>
      </w:r>
      <w:r w:rsidRPr="00212FD6">
        <w:rPr>
          <w:w w:val="105"/>
          <w:lang w:val="en-GB"/>
        </w:rPr>
        <w:t>minute</w:t>
      </w:r>
      <w:r w:rsidR="003F0151">
        <w:rPr>
          <w:w w:val="105"/>
          <w:lang w:val="en-GB"/>
        </w:rPr>
        <w:t>s</w:t>
      </w:r>
    </w:p>
    <w:p w14:paraId="0D354550" w14:textId="77777777" w:rsidR="00B35915" w:rsidRDefault="00B35915" w:rsidP="00212FD6">
      <w:pPr>
        <w:rPr>
          <w:w w:val="105"/>
          <w:lang w:val="en-GB"/>
        </w:rPr>
      </w:pPr>
    </w:p>
    <w:p w14:paraId="71F9263F" w14:textId="77777777" w:rsidR="00B35915" w:rsidRPr="00212FD6" w:rsidRDefault="00B35915" w:rsidP="00B35915">
      <w:pPr>
        <w:jc w:val="center"/>
        <w:rPr>
          <w:b/>
          <w:bCs/>
          <w:sz w:val="28"/>
          <w:szCs w:val="28"/>
          <w:lang w:val="en-GB"/>
        </w:rPr>
      </w:pPr>
      <w:r w:rsidRPr="00212FD6">
        <w:rPr>
          <w:b/>
          <w:bCs/>
          <w:sz w:val="28"/>
          <w:szCs w:val="28"/>
          <w:lang w:val="en-GB"/>
        </w:rPr>
        <w:t>Course advanced</w:t>
      </w:r>
    </w:p>
    <w:tbl>
      <w:tblPr>
        <w:tblStyle w:val="TableNormal"/>
        <w:tblW w:w="9049" w:type="dxa"/>
        <w:tblInd w:w="1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1998"/>
        <w:gridCol w:w="7051"/>
      </w:tblGrid>
      <w:tr w:rsidR="00B35915" w:rsidRPr="00212FD6" w14:paraId="39012FC7" w14:textId="77777777" w:rsidTr="0053082E">
        <w:trPr>
          <w:trHeight w:val="574"/>
        </w:trPr>
        <w:tc>
          <w:tcPr>
            <w:tcW w:w="1998" w:type="dxa"/>
          </w:tcPr>
          <w:p w14:paraId="7E3D2CA7" w14:textId="77777777" w:rsidR="00B35915" w:rsidRPr="00212FD6" w:rsidRDefault="00B35915" w:rsidP="0053082E">
            <w:pPr>
              <w:spacing w:before="76"/>
              <w:rPr>
                <w:rFonts w:eastAsia="Trebuchet MS" w:cstheme="minorHAnsi"/>
                <w:b/>
                <w:szCs w:val="28"/>
                <w:highlight w:val="yellow"/>
              </w:rPr>
            </w:pPr>
            <w:bookmarkStart w:id="0" w:name="_Hlk124248822"/>
            <w:r w:rsidRPr="00212FD6">
              <w:rPr>
                <w:rFonts w:eastAsia="Trebuchet MS" w:cstheme="minorHAnsi"/>
                <w:b/>
                <w:w w:val="110"/>
                <w:szCs w:val="28"/>
              </w:rPr>
              <w:t xml:space="preserve">      Activities</w:t>
            </w:r>
          </w:p>
        </w:tc>
        <w:tc>
          <w:tcPr>
            <w:tcW w:w="7051" w:type="dxa"/>
          </w:tcPr>
          <w:p w14:paraId="0BE706EB" w14:textId="77777777" w:rsidR="00B35915" w:rsidRPr="00212FD6" w:rsidRDefault="00B35915" w:rsidP="0053082E">
            <w:pPr>
              <w:spacing w:before="76"/>
              <w:ind w:left="82"/>
              <w:rPr>
                <w:rFonts w:eastAsia="Trebuchet MS" w:cstheme="minorHAnsi"/>
                <w:b/>
                <w:szCs w:val="28"/>
                <w:highlight w:val="yellow"/>
              </w:rPr>
            </w:pPr>
            <w:r w:rsidRPr="00212FD6">
              <w:rPr>
                <w:rFonts w:eastAsia="Trebuchet MS" w:cstheme="minorHAnsi"/>
                <w:b/>
                <w:w w:val="110"/>
                <w:szCs w:val="28"/>
              </w:rPr>
              <w:t>Examination</w:t>
            </w:r>
            <w:r w:rsidRPr="00212FD6">
              <w:rPr>
                <w:rFonts w:eastAsia="Trebuchet MS" w:cstheme="minorHAnsi"/>
                <w:b/>
                <w:spacing w:val="-9"/>
                <w:w w:val="110"/>
                <w:szCs w:val="28"/>
              </w:rPr>
              <w:t xml:space="preserve"> </w:t>
            </w:r>
            <w:r w:rsidRPr="00212FD6">
              <w:rPr>
                <w:rFonts w:eastAsia="Trebuchet MS" w:cstheme="minorHAnsi"/>
                <w:b/>
                <w:w w:val="110"/>
                <w:szCs w:val="28"/>
              </w:rPr>
              <w:t>methods</w:t>
            </w:r>
          </w:p>
        </w:tc>
      </w:tr>
      <w:tr w:rsidR="00B35915" w:rsidRPr="00212FD6" w14:paraId="063C2ECC" w14:textId="77777777" w:rsidTr="0053082E">
        <w:trPr>
          <w:trHeight w:val="950"/>
        </w:trPr>
        <w:tc>
          <w:tcPr>
            <w:tcW w:w="1998" w:type="dxa"/>
          </w:tcPr>
          <w:p w14:paraId="7D92A6ED" w14:textId="77777777" w:rsidR="00B35915" w:rsidRPr="00212FD6" w:rsidRDefault="00B35915" w:rsidP="0053082E">
            <w:pPr>
              <w:rPr>
                <w:rFonts w:eastAsia="Trebuchet MS" w:cstheme="minorHAnsi"/>
                <w:szCs w:val="28"/>
                <w:highlight w:val="yellow"/>
              </w:rPr>
            </w:pPr>
          </w:p>
          <w:p w14:paraId="7E1AD6CB" w14:textId="77777777" w:rsidR="00B35915" w:rsidRPr="00212FD6" w:rsidRDefault="00B35915" w:rsidP="0053082E">
            <w:pPr>
              <w:spacing w:before="168"/>
              <w:ind w:left="82"/>
              <w:rPr>
                <w:rFonts w:eastAsia="Trebuchet MS" w:cstheme="minorHAnsi"/>
                <w:szCs w:val="28"/>
                <w:highlight w:val="yellow"/>
                <w:lang w:val="en-GB"/>
              </w:rPr>
            </w:pPr>
            <w:r w:rsidRPr="002018F6">
              <w:rPr>
                <w:rFonts w:eastAsia="Trebuchet MS" w:cstheme="minorHAnsi"/>
                <w:szCs w:val="28"/>
                <w:lang w:val="en-GB"/>
              </w:rPr>
              <w:t>Lectures, discussions and group work</w:t>
            </w:r>
          </w:p>
        </w:tc>
        <w:tc>
          <w:tcPr>
            <w:tcW w:w="7051" w:type="dxa"/>
          </w:tcPr>
          <w:p w14:paraId="66AF1DF5" w14:textId="77777777" w:rsidR="00B35915" w:rsidRPr="00212FD6" w:rsidRDefault="00B35915" w:rsidP="0053082E">
            <w:pPr>
              <w:rPr>
                <w:rFonts w:eastAsia="Trebuchet MS" w:cstheme="minorHAnsi"/>
                <w:szCs w:val="28"/>
                <w:highlight w:val="yellow"/>
              </w:rPr>
            </w:pPr>
          </w:p>
          <w:p w14:paraId="671D35B7" w14:textId="77777777" w:rsidR="00B35915" w:rsidRPr="00212FD6" w:rsidRDefault="00B35915" w:rsidP="0053082E">
            <w:pPr>
              <w:spacing w:before="76" w:line="247" w:lineRule="auto"/>
              <w:ind w:left="82" w:right="74"/>
              <w:rPr>
                <w:rFonts w:eastAsia="Trebuchet MS" w:cstheme="minorHAnsi"/>
                <w:szCs w:val="28"/>
              </w:rPr>
            </w:pPr>
            <w:r w:rsidRPr="002018F6">
              <w:rPr>
                <w:rFonts w:eastAsia="Trebuchet MS" w:cstheme="minorHAnsi"/>
                <w:szCs w:val="28"/>
                <w:lang w:val="en-GB"/>
              </w:rPr>
              <w:t xml:space="preserve">Active participation and home assignment </w:t>
            </w:r>
          </w:p>
          <w:p w14:paraId="66A29508" w14:textId="77777777" w:rsidR="00B35915" w:rsidRPr="00212FD6" w:rsidRDefault="00B35915" w:rsidP="0053082E">
            <w:pPr>
              <w:spacing w:before="76" w:line="247" w:lineRule="auto"/>
              <w:ind w:left="82" w:right="74"/>
              <w:rPr>
                <w:rFonts w:eastAsia="Trebuchet MS" w:cstheme="minorHAnsi"/>
                <w:szCs w:val="28"/>
                <w:highlight w:val="yellow"/>
              </w:rPr>
            </w:pPr>
          </w:p>
        </w:tc>
      </w:tr>
      <w:bookmarkEnd w:id="0"/>
    </w:tbl>
    <w:p w14:paraId="3BBE4185" w14:textId="0DF90485" w:rsidR="00B35915" w:rsidRDefault="00B35915" w:rsidP="00212FD6">
      <w:pPr>
        <w:rPr>
          <w:w w:val="105"/>
          <w:highlight w:val="yellow"/>
          <w:lang w:val="en-GB"/>
        </w:rPr>
      </w:pPr>
    </w:p>
    <w:p w14:paraId="648D06B8" w14:textId="4B7C3767" w:rsidR="00F35131" w:rsidRDefault="00F35131" w:rsidP="00212FD6">
      <w:pPr>
        <w:rPr>
          <w:w w:val="105"/>
          <w:highlight w:val="yellow"/>
          <w:lang w:val="en-GB"/>
        </w:rPr>
      </w:pPr>
    </w:p>
    <w:p w14:paraId="776646E0" w14:textId="29BA0520" w:rsidR="00F35131" w:rsidRDefault="00F35131" w:rsidP="00212FD6">
      <w:pPr>
        <w:rPr>
          <w:w w:val="105"/>
          <w:highlight w:val="yellow"/>
          <w:lang w:val="en-GB"/>
        </w:rPr>
      </w:pPr>
    </w:p>
    <w:p w14:paraId="606358F1" w14:textId="5E57F7DB" w:rsidR="00F35131" w:rsidRDefault="00F35131" w:rsidP="00212FD6">
      <w:pPr>
        <w:rPr>
          <w:w w:val="105"/>
          <w:highlight w:val="yellow"/>
          <w:lang w:val="en-GB"/>
        </w:rPr>
      </w:pPr>
    </w:p>
    <w:p w14:paraId="6FCC7262" w14:textId="114D140A" w:rsidR="00F35131" w:rsidRDefault="00F35131" w:rsidP="00212FD6">
      <w:pPr>
        <w:rPr>
          <w:w w:val="105"/>
          <w:highlight w:val="yellow"/>
          <w:lang w:val="en-GB"/>
        </w:rPr>
      </w:pPr>
    </w:p>
    <w:p w14:paraId="55066F9D" w14:textId="72F4CBC6" w:rsidR="00F35131" w:rsidRDefault="00F35131" w:rsidP="00212FD6">
      <w:pPr>
        <w:rPr>
          <w:w w:val="105"/>
          <w:highlight w:val="yellow"/>
          <w:lang w:val="en-GB"/>
        </w:rPr>
      </w:pPr>
    </w:p>
    <w:p w14:paraId="343A60CB" w14:textId="3EA01AF2" w:rsidR="00F35131" w:rsidRDefault="00F35131" w:rsidP="00212FD6">
      <w:pPr>
        <w:rPr>
          <w:w w:val="105"/>
          <w:highlight w:val="yellow"/>
          <w:lang w:val="en-GB"/>
        </w:rPr>
      </w:pPr>
    </w:p>
    <w:p w14:paraId="1F368F88" w14:textId="0B2D112D" w:rsidR="00F35131" w:rsidRDefault="00F35131" w:rsidP="00212FD6">
      <w:pPr>
        <w:rPr>
          <w:w w:val="105"/>
          <w:highlight w:val="yellow"/>
          <w:lang w:val="en-GB"/>
        </w:rPr>
      </w:pPr>
    </w:p>
    <w:p w14:paraId="5AF8AABC" w14:textId="10BAE1C4" w:rsidR="00F35131" w:rsidRDefault="00F35131" w:rsidP="00212FD6">
      <w:pPr>
        <w:rPr>
          <w:w w:val="105"/>
          <w:highlight w:val="yellow"/>
          <w:lang w:val="en-GB"/>
        </w:rPr>
      </w:pPr>
    </w:p>
    <w:p w14:paraId="6C73CC28" w14:textId="77777777" w:rsidR="00F35131" w:rsidRPr="00212FD6" w:rsidRDefault="00F35131" w:rsidP="00212FD6">
      <w:pPr>
        <w:rPr>
          <w:w w:val="105"/>
          <w:highlight w:val="yellow"/>
          <w:lang w:val="en-GB"/>
        </w:rPr>
      </w:pPr>
    </w:p>
    <w:p w14:paraId="3A16A3D3" w14:textId="77777777" w:rsidR="00212FD6" w:rsidRPr="003F0151" w:rsidRDefault="00212FD6" w:rsidP="002018F6">
      <w:pPr>
        <w:jc w:val="center"/>
        <w:rPr>
          <w:b/>
          <w:bCs/>
          <w:sz w:val="28"/>
          <w:szCs w:val="28"/>
          <w:lang w:val="en-GB"/>
        </w:rPr>
      </w:pPr>
      <w:r w:rsidRPr="00212FD6">
        <w:rPr>
          <w:b/>
          <w:bCs/>
          <w:noProof/>
          <w:sz w:val="28"/>
          <w:szCs w:val="28"/>
          <w:lang w:val="en-GB"/>
        </w:rPr>
        <w:lastRenderedPageBreak/>
        <mc:AlternateContent>
          <mc:Choice Requires="wps">
            <w:drawing>
              <wp:anchor distT="45720" distB="45720" distL="114300" distR="114300" simplePos="0" relativeHeight="251660288" behindDoc="0" locked="0" layoutInCell="1" allowOverlap="1" wp14:anchorId="297B3D63" wp14:editId="61708087">
                <wp:simplePos x="0" y="0"/>
                <wp:positionH relativeFrom="column">
                  <wp:posOffset>83185</wp:posOffset>
                </wp:positionH>
                <wp:positionV relativeFrom="paragraph">
                  <wp:posOffset>323850</wp:posOffset>
                </wp:positionV>
                <wp:extent cx="5753100" cy="7430135"/>
                <wp:effectExtent l="0" t="0" r="19050" b="18415"/>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430135"/>
                        </a:xfrm>
                        <a:prstGeom prst="rect">
                          <a:avLst/>
                        </a:prstGeom>
                        <a:solidFill>
                          <a:srgbClr val="FFFFFF"/>
                        </a:solidFill>
                        <a:ln w="9525">
                          <a:solidFill>
                            <a:sysClr val="window" lastClr="FFFFFF">
                              <a:lumMod val="75000"/>
                            </a:sysClr>
                          </a:solidFill>
                          <a:miter lim="800000"/>
                          <a:headEnd/>
                          <a:tailEnd/>
                        </a:ln>
                      </wps:spPr>
                      <wps:txbx>
                        <w:txbxContent>
                          <w:p w14:paraId="139824B4" w14:textId="034117BA" w:rsidR="002018F6" w:rsidRDefault="002018F6" w:rsidP="002018F6">
                            <w:pPr>
                              <w:pStyle w:val="Akapitzlist"/>
                              <w:numPr>
                                <w:ilvl w:val="0"/>
                                <w:numId w:val="2"/>
                              </w:numPr>
                              <w:jc w:val="both"/>
                              <w:rPr>
                                <w:lang w:val="en-GB"/>
                              </w:rPr>
                            </w:pPr>
                            <w:r w:rsidRPr="002018F6">
                              <w:rPr>
                                <w:lang w:val="en-GB"/>
                              </w:rPr>
                              <w:t>Session 1 – introducing case study methods</w:t>
                            </w:r>
                            <w:r>
                              <w:rPr>
                                <w:lang w:val="en-GB"/>
                              </w:rPr>
                              <w:t xml:space="preserve">. </w:t>
                            </w:r>
                            <w:r w:rsidRPr="002018F6">
                              <w:rPr>
                                <w:lang w:val="en-GB"/>
                              </w:rPr>
                              <w:t>The first session of the course will introduce how case study methods differ from variance-based and more interpretive methods. After</w:t>
                            </w:r>
                            <w:r w:rsidR="003F0151">
                              <w:rPr>
                                <w:lang w:val="en-GB"/>
                              </w:rPr>
                              <w:t xml:space="preserve"> </w:t>
                            </w:r>
                            <w:r w:rsidRPr="002018F6">
                              <w:rPr>
                                <w:lang w:val="en-GB"/>
                              </w:rPr>
                              <w:t>a short lecture, we will discuss key differences across methodologies.</w:t>
                            </w:r>
                          </w:p>
                          <w:p w14:paraId="7337F456" w14:textId="77777777" w:rsidR="003F0151" w:rsidRPr="002018F6" w:rsidRDefault="003F0151" w:rsidP="003F0151">
                            <w:pPr>
                              <w:pStyle w:val="Akapitzlist"/>
                              <w:jc w:val="both"/>
                              <w:rPr>
                                <w:lang w:val="en-GB"/>
                              </w:rPr>
                            </w:pPr>
                          </w:p>
                          <w:p w14:paraId="5B038645" w14:textId="2E499626" w:rsidR="002018F6" w:rsidRDefault="002018F6" w:rsidP="003F0151">
                            <w:pPr>
                              <w:pStyle w:val="Akapitzlist"/>
                              <w:jc w:val="both"/>
                              <w:rPr>
                                <w:lang w:val="en-GB"/>
                              </w:rPr>
                            </w:pPr>
                            <w:r w:rsidRPr="002018F6">
                              <w:rPr>
                                <w:lang w:val="en-GB"/>
                              </w:rPr>
                              <w:t>Obligatory readings:</w:t>
                            </w:r>
                          </w:p>
                          <w:p w14:paraId="52A4ABDC" w14:textId="77777777" w:rsidR="002018F6" w:rsidRPr="003F0151" w:rsidRDefault="002018F6" w:rsidP="003F0151">
                            <w:pPr>
                              <w:pStyle w:val="Akapitzlist"/>
                              <w:numPr>
                                <w:ilvl w:val="0"/>
                                <w:numId w:val="10"/>
                              </w:numPr>
                              <w:jc w:val="both"/>
                              <w:rPr>
                                <w:lang w:val="en-GB"/>
                              </w:rPr>
                            </w:pPr>
                            <w:bookmarkStart w:id="1" w:name="_Hlk124447282"/>
                            <w:bookmarkStart w:id="2" w:name="_Hlk124447283"/>
                            <w:bookmarkStart w:id="3" w:name="_Hlk124447284"/>
                            <w:bookmarkStart w:id="4" w:name="_Hlk124447285"/>
                            <w:bookmarkStart w:id="5" w:name="_Hlk124447286"/>
                            <w:bookmarkStart w:id="6" w:name="_Hlk124447287"/>
                            <w:bookmarkStart w:id="7" w:name="_Hlk124447288"/>
                            <w:bookmarkStart w:id="8" w:name="_Hlk124447289"/>
                            <w:bookmarkStart w:id="9" w:name="_Hlk124447290"/>
                            <w:bookmarkStart w:id="10" w:name="_Hlk124447291"/>
                            <w:r w:rsidRPr="003F0151">
                              <w:rPr>
                                <w:lang w:val="en-GB"/>
                              </w:rPr>
                              <w:t xml:space="preserve">Beach, Derek, and Jonas Gejl Kaas. (2020) ‘The Great Divides: Incommensurability, the Impossibility of Mixed-Methodology and What to Do about It.’ International Studies Review, 22(2): 214–235. </w:t>
                            </w:r>
                          </w:p>
                          <w:p w14:paraId="5F885B7C" w14:textId="519C263F" w:rsidR="00212FD6" w:rsidRDefault="002018F6" w:rsidP="003F0151">
                            <w:pPr>
                              <w:pStyle w:val="Akapitzlist"/>
                              <w:numPr>
                                <w:ilvl w:val="0"/>
                                <w:numId w:val="10"/>
                              </w:numPr>
                              <w:jc w:val="both"/>
                              <w:rPr>
                                <w:lang w:val="en-GB"/>
                              </w:rPr>
                            </w:pPr>
                            <w:r w:rsidRPr="003F0151">
                              <w:rPr>
                                <w:lang w:val="en-GB"/>
                              </w:rPr>
                              <w:t xml:space="preserve">Beach, D (2022) 'Process-Tracing Methods in Social Science. 2nd version' Oxford Research </w:t>
                            </w:r>
                            <w:proofErr w:type="spellStart"/>
                            <w:r w:rsidRPr="003F0151">
                              <w:rPr>
                                <w:lang w:val="en-GB"/>
                              </w:rPr>
                              <w:t>Encyclopedias</w:t>
                            </w:r>
                            <w:proofErr w:type="spellEnd"/>
                            <w:r w:rsidRPr="003F0151">
                              <w:rPr>
                                <w:lang w:val="en-GB"/>
                              </w:rPr>
                              <w:t xml:space="preserve"> of Politics: Qualitative Political Methodology. Oxford University Press. DOI: 10.1093/</w:t>
                            </w:r>
                            <w:proofErr w:type="spellStart"/>
                            <w:r w:rsidRPr="003F0151">
                              <w:rPr>
                                <w:lang w:val="en-GB"/>
                              </w:rPr>
                              <w:t>acrefore</w:t>
                            </w:r>
                            <w:proofErr w:type="spellEnd"/>
                            <w:r w:rsidRPr="003F0151">
                              <w:rPr>
                                <w:lang w:val="en-GB"/>
                              </w:rPr>
                              <w:t>/9780190228637.013.176  [sections 1-3]</w:t>
                            </w:r>
                            <w:bookmarkEnd w:id="1"/>
                            <w:bookmarkEnd w:id="2"/>
                            <w:bookmarkEnd w:id="3"/>
                            <w:bookmarkEnd w:id="4"/>
                            <w:bookmarkEnd w:id="5"/>
                            <w:bookmarkEnd w:id="6"/>
                            <w:bookmarkEnd w:id="7"/>
                            <w:bookmarkEnd w:id="8"/>
                            <w:bookmarkEnd w:id="9"/>
                            <w:bookmarkEnd w:id="10"/>
                            <w:r w:rsidR="003F0151">
                              <w:rPr>
                                <w:lang w:val="en-GB"/>
                              </w:rPr>
                              <w:t>.</w:t>
                            </w:r>
                          </w:p>
                          <w:p w14:paraId="6E7418B9" w14:textId="77777777" w:rsidR="003F0151" w:rsidRPr="003F0151" w:rsidRDefault="003F0151" w:rsidP="003F0151">
                            <w:pPr>
                              <w:pStyle w:val="Akapitzlist"/>
                              <w:ind w:left="1080"/>
                              <w:jc w:val="both"/>
                              <w:rPr>
                                <w:lang w:val="en-GB"/>
                              </w:rPr>
                            </w:pPr>
                          </w:p>
                          <w:p w14:paraId="24AB2C32" w14:textId="4D77F2E6" w:rsidR="002018F6" w:rsidRDefault="002018F6" w:rsidP="003F0151">
                            <w:pPr>
                              <w:pStyle w:val="Akapitzlist"/>
                              <w:numPr>
                                <w:ilvl w:val="0"/>
                                <w:numId w:val="2"/>
                              </w:numPr>
                              <w:jc w:val="both"/>
                              <w:rPr>
                                <w:lang w:val="en-GB"/>
                              </w:rPr>
                            </w:pPr>
                            <w:r w:rsidRPr="002018F6">
                              <w:rPr>
                                <w:lang w:val="en-GB"/>
                              </w:rPr>
                              <w:t>Session 2 – theorizing and evidencing</w:t>
                            </w:r>
                            <w:r>
                              <w:rPr>
                                <w:lang w:val="en-GB"/>
                              </w:rPr>
                              <w:t xml:space="preserve">. </w:t>
                            </w:r>
                            <w:r w:rsidRPr="002018F6">
                              <w:rPr>
                                <w:lang w:val="en-GB"/>
                              </w:rPr>
                              <w:t>The second session deals with the use of theory in case study methods and how they can be evidenced. We will first discuss the types of theoretical claims and the role of theory in case study methods – focusing on process tracing. This will be followed by a discussion of relevant evidence in case studies. Groupwork will use the article by Olesen &amp; Pedersen and Winward and as an illustration of how process tracing case study can look like.</w:t>
                            </w:r>
                          </w:p>
                          <w:p w14:paraId="0DAE4B82" w14:textId="77777777" w:rsidR="003F0151" w:rsidRPr="003F0151" w:rsidRDefault="003F0151" w:rsidP="003F0151">
                            <w:pPr>
                              <w:pStyle w:val="Akapitzlist"/>
                              <w:jc w:val="both"/>
                              <w:rPr>
                                <w:lang w:val="en-GB"/>
                              </w:rPr>
                            </w:pPr>
                          </w:p>
                          <w:p w14:paraId="55CB2DDD" w14:textId="77777777" w:rsidR="002018F6" w:rsidRPr="002018F6" w:rsidRDefault="002018F6" w:rsidP="002018F6">
                            <w:pPr>
                              <w:pStyle w:val="Akapitzlist"/>
                              <w:jc w:val="both"/>
                              <w:rPr>
                                <w:lang w:val="en-GB"/>
                              </w:rPr>
                            </w:pPr>
                            <w:r w:rsidRPr="002018F6">
                              <w:rPr>
                                <w:lang w:val="en-GB"/>
                              </w:rPr>
                              <w:t>Obligatory reading:</w:t>
                            </w:r>
                          </w:p>
                          <w:p w14:paraId="4AED4D5B" w14:textId="2C77C955" w:rsidR="002018F6" w:rsidRPr="003F0151" w:rsidRDefault="002018F6" w:rsidP="003F0151">
                            <w:pPr>
                              <w:pStyle w:val="Akapitzlist"/>
                              <w:numPr>
                                <w:ilvl w:val="0"/>
                                <w:numId w:val="8"/>
                              </w:numPr>
                              <w:jc w:val="both"/>
                              <w:rPr>
                                <w:lang w:val="en-GB"/>
                              </w:rPr>
                            </w:pPr>
                            <w:bookmarkStart w:id="11" w:name="_Hlk124447399"/>
                            <w:bookmarkStart w:id="12" w:name="_Hlk124447400"/>
                            <w:r w:rsidRPr="002018F6">
                              <w:rPr>
                                <w:lang w:val="en-GB"/>
                              </w:rPr>
                              <w:t>Beach and Pedersen (2019) Process-tracing methods. 2nd Edition, Ann Arbor: University of Michigan Press. Chapter 3, 5.</w:t>
                            </w:r>
                          </w:p>
                          <w:p w14:paraId="46F77F95" w14:textId="5FB7A30B" w:rsidR="00412BBC" w:rsidRDefault="002018F6" w:rsidP="002018F6">
                            <w:pPr>
                              <w:pStyle w:val="Akapitzlist"/>
                              <w:numPr>
                                <w:ilvl w:val="0"/>
                                <w:numId w:val="8"/>
                              </w:numPr>
                              <w:jc w:val="both"/>
                              <w:rPr>
                                <w:lang w:val="en-GB"/>
                              </w:rPr>
                            </w:pPr>
                            <w:r w:rsidRPr="00412BBC">
                              <w:rPr>
                                <w:lang w:val="en-GB"/>
                              </w:rPr>
                              <w:t>Olesen &amp; Pedersen (forthcoming) Speak like a liberal, act like a realist? A look behind the curtain of Denmark’s decision to participate in the NATO intervention in Kosovo</w:t>
                            </w:r>
                            <w:r w:rsidR="003F0151" w:rsidRPr="00412BBC">
                              <w:rPr>
                                <w:lang w:val="en-GB"/>
                              </w:rPr>
                              <w:t>.</w:t>
                            </w:r>
                            <w:r w:rsidR="00412BBC" w:rsidRPr="00412BBC">
                              <w:rPr>
                                <w:lang w:val="en-GB"/>
                              </w:rPr>
                              <w:t xml:space="preserve"> (</w:t>
                            </w:r>
                            <w:r w:rsidR="00412BBC">
                              <w:rPr>
                                <w:lang w:val="en-GB"/>
                              </w:rPr>
                              <w:t>U</w:t>
                            </w:r>
                            <w:r w:rsidR="00412BBC" w:rsidRPr="00412BBC">
                              <w:rPr>
                                <w:lang w:val="en-GB"/>
                              </w:rPr>
                              <w:t>nder review in International Studies Quarterly)</w:t>
                            </w:r>
                          </w:p>
                          <w:p w14:paraId="1E02A60C" w14:textId="7AD7E19F" w:rsidR="002018F6" w:rsidRPr="00412BBC" w:rsidRDefault="002018F6" w:rsidP="002018F6">
                            <w:pPr>
                              <w:pStyle w:val="Akapitzlist"/>
                              <w:numPr>
                                <w:ilvl w:val="0"/>
                                <w:numId w:val="8"/>
                              </w:numPr>
                              <w:jc w:val="both"/>
                              <w:rPr>
                                <w:lang w:val="en-GB"/>
                              </w:rPr>
                            </w:pPr>
                            <w:r w:rsidRPr="00412BBC">
                              <w:rPr>
                                <w:lang w:val="en-GB"/>
                              </w:rPr>
                              <w:t xml:space="preserve">Winward, M. (2021). Intelligence Capacity and Mass Violence: Evidence From Indonesia. Comparative Political Studies, 54(3–4), 553–584. </w:t>
                            </w:r>
                            <w:hyperlink r:id="rId7" w:history="1">
                              <w:r w:rsidRPr="00412BBC">
                                <w:rPr>
                                  <w:rStyle w:val="Hipercze"/>
                                  <w:lang w:val="en-GB"/>
                                </w:rPr>
                                <w:t>https://doi.org/10.1177/0010414020938072</w:t>
                              </w:r>
                            </w:hyperlink>
                            <w:bookmarkEnd w:id="11"/>
                            <w:bookmarkEnd w:id="12"/>
                          </w:p>
                          <w:p w14:paraId="5A034910" w14:textId="77777777" w:rsidR="003F0151" w:rsidRDefault="003F0151" w:rsidP="002018F6">
                            <w:pPr>
                              <w:pStyle w:val="Akapitzlist"/>
                              <w:jc w:val="both"/>
                              <w:rPr>
                                <w:lang w:val="en-GB"/>
                              </w:rPr>
                            </w:pPr>
                          </w:p>
                          <w:p w14:paraId="6BEB72CF" w14:textId="58A3C6FD" w:rsidR="002018F6" w:rsidRPr="002018F6" w:rsidRDefault="002018F6" w:rsidP="002018F6">
                            <w:pPr>
                              <w:pStyle w:val="Akapitzlist"/>
                              <w:numPr>
                                <w:ilvl w:val="0"/>
                                <w:numId w:val="2"/>
                              </w:numPr>
                              <w:jc w:val="both"/>
                              <w:rPr>
                                <w:lang w:val="en-GB"/>
                              </w:rPr>
                            </w:pPr>
                            <w:r w:rsidRPr="002018F6">
                              <w:rPr>
                                <w:lang w:val="en-GB"/>
                              </w:rPr>
                              <w:t>Session 3 – selecting cases and the challenge of generalization</w:t>
                            </w:r>
                            <w:r>
                              <w:rPr>
                                <w:lang w:val="en-GB"/>
                              </w:rPr>
                              <w:t xml:space="preserve">. </w:t>
                            </w:r>
                            <w:r w:rsidRPr="002018F6">
                              <w:rPr>
                                <w:lang w:val="en-GB"/>
                              </w:rPr>
                              <w:t>The third session deals with case selection, and how to assess whether findings from a set of cases can travel to other, non-studied cases. The focus is on understanding why ‘typical’ (positive) cases of a cause and outcome are usually selected, as well as briefly introducing the use of comparative methods to assess whether claims from case studies can travel.</w:t>
                            </w:r>
                          </w:p>
                          <w:p w14:paraId="42A05268" w14:textId="7501277B" w:rsidR="002018F6" w:rsidRPr="002018F6" w:rsidRDefault="003F0151" w:rsidP="002018F6">
                            <w:pPr>
                              <w:pStyle w:val="Akapitzlist"/>
                              <w:jc w:val="both"/>
                              <w:rPr>
                                <w:lang w:val="en-GB"/>
                              </w:rPr>
                            </w:pPr>
                            <w:r>
                              <w:rPr>
                                <w:lang w:val="en-GB"/>
                              </w:rPr>
                              <w:t xml:space="preserve">Obligatory reading: </w:t>
                            </w:r>
                          </w:p>
                          <w:p w14:paraId="5F9665AE" w14:textId="0B049C93" w:rsidR="002018F6" w:rsidRPr="002018F6" w:rsidRDefault="002018F6" w:rsidP="003F0151">
                            <w:pPr>
                              <w:pStyle w:val="Akapitzlist"/>
                              <w:numPr>
                                <w:ilvl w:val="0"/>
                                <w:numId w:val="9"/>
                              </w:numPr>
                              <w:jc w:val="both"/>
                              <w:rPr>
                                <w:lang w:val="en-GB"/>
                              </w:rPr>
                            </w:pPr>
                            <w:r w:rsidRPr="002018F6">
                              <w:rPr>
                                <w:lang w:val="en-GB"/>
                              </w:rPr>
                              <w:t xml:space="preserve">Beach, D (2022) 'Process-Tracing Methods in Social Science. 2nd version' Oxford Research </w:t>
                            </w:r>
                            <w:proofErr w:type="spellStart"/>
                            <w:r w:rsidRPr="002018F6">
                              <w:rPr>
                                <w:lang w:val="en-GB"/>
                              </w:rPr>
                              <w:t>Encyclopedias</w:t>
                            </w:r>
                            <w:proofErr w:type="spellEnd"/>
                            <w:r w:rsidRPr="002018F6">
                              <w:rPr>
                                <w:lang w:val="en-GB"/>
                              </w:rPr>
                              <w:t xml:space="preserve"> of Politics: Qualitative Political Methodology. Oxford University Press. DOI: 10.1093/</w:t>
                            </w:r>
                            <w:proofErr w:type="spellStart"/>
                            <w:r w:rsidRPr="002018F6">
                              <w:rPr>
                                <w:lang w:val="en-GB"/>
                              </w:rPr>
                              <w:t>acrefore</w:t>
                            </w:r>
                            <w:proofErr w:type="spellEnd"/>
                            <w:r w:rsidRPr="002018F6">
                              <w:rPr>
                                <w:lang w:val="en-GB"/>
                              </w:rPr>
                              <w:t>/9780190228637.013.176  [section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B3D63" id="_x0000_s1027" type="#_x0000_t202" style="position:absolute;left:0;text-align:left;margin-left:6.55pt;margin-top:25.5pt;width:453pt;height:585.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" strokecolor="#bfbfbf">
                <v:textbox>
                  <w:txbxContent>
                    <w:p w14:paraId="139824B4" w14:textId="034117BA" w:rsidR="002018F6" w:rsidRDefault="002018F6" w:rsidP="002018F6">
                      <w:pPr>
                        <w:pStyle w:val="Akapitzlist"/>
                        <w:numPr>
                          <w:ilvl w:val="0"/>
                          <w:numId w:val="2"/>
                        </w:numPr>
                        <w:jc w:val="both"/>
                        <w:rPr>
                          <w:lang w:val="en-GB"/>
                        </w:rPr>
                      </w:pPr>
                      <w:r w:rsidRPr="002018F6">
                        <w:rPr>
                          <w:lang w:val="en-GB"/>
                        </w:rPr>
                        <w:t>Session 1 – introducing case study methods</w:t>
                      </w:r>
                      <w:r>
                        <w:rPr>
                          <w:lang w:val="en-GB"/>
                        </w:rPr>
                        <w:t xml:space="preserve">. </w:t>
                      </w:r>
                      <w:r w:rsidRPr="002018F6">
                        <w:rPr>
                          <w:lang w:val="en-GB"/>
                        </w:rPr>
                        <w:t>The first session of the course will introduce how case study methods differ from variance-based and more interpretive methods. After</w:t>
                      </w:r>
                      <w:r w:rsidR="003F0151">
                        <w:rPr>
                          <w:lang w:val="en-GB"/>
                        </w:rPr>
                        <w:t xml:space="preserve"> </w:t>
                      </w:r>
                      <w:r w:rsidRPr="002018F6">
                        <w:rPr>
                          <w:lang w:val="en-GB"/>
                        </w:rPr>
                        <w:t>a short lecture, we will discuss key differences across methodologies.</w:t>
                      </w:r>
                    </w:p>
                    <w:p w14:paraId="7337F456" w14:textId="77777777" w:rsidR="003F0151" w:rsidRPr="002018F6" w:rsidRDefault="003F0151" w:rsidP="003F0151">
                      <w:pPr>
                        <w:pStyle w:val="Akapitzlist"/>
                        <w:jc w:val="both"/>
                        <w:rPr>
                          <w:lang w:val="en-GB"/>
                        </w:rPr>
                      </w:pPr>
                    </w:p>
                    <w:p w14:paraId="5B038645" w14:textId="2E499626" w:rsidR="002018F6" w:rsidRDefault="002018F6" w:rsidP="003F0151">
                      <w:pPr>
                        <w:pStyle w:val="Akapitzlist"/>
                        <w:jc w:val="both"/>
                        <w:rPr>
                          <w:lang w:val="en-GB"/>
                        </w:rPr>
                      </w:pPr>
                      <w:r w:rsidRPr="002018F6">
                        <w:rPr>
                          <w:lang w:val="en-GB"/>
                        </w:rPr>
                        <w:t>Obligatory readings:</w:t>
                      </w:r>
                    </w:p>
                    <w:p w14:paraId="52A4ABDC" w14:textId="77777777" w:rsidR="002018F6" w:rsidRPr="003F0151" w:rsidRDefault="002018F6" w:rsidP="003F0151">
                      <w:pPr>
                        <w:pStyle w:val="Akapitzlist"/>
                        <w:numPr>
                          <w:ilvl w:val="0"/>
                          <w:numId w:val="10"/>
                        </w:numPr>
                        <w:jc w:val="both"/>
                        <w:rPr>
                          <w:lang w:val="en-GB"/>
                        </w:rPr>
                      </w:pPr>
                      <w:bookmarkStart w:id="13" w:name="_Hlk124447282"/>
                      <w:bookmarkStart w:id="14" w:name="_Hlk124447283"/>
                      <w:bookmarkStart w:id="15" w:name="_Hlk124447284"/>
                      <w:bookmarkStart w:id="16" w:name="_Hlk124447285"/>
                      <w:bookmarkStart w:id="17" w:name="_Hlk124447286"/>
                      <w:bookmarkStart w:id="18" w:name="_Hlk124447287"/>
                      <w:bookmarkStart w:id="19" w:name="_Hlk124447288"/>
                      <w:bookmarkStart w:id="20" w:name="_Hlk124447289"/>
                      <w:bookmarkStart w:id="21" w:name="_Hlk124447290"/>
                      <w:bookmarkStart w:id="22" w:name="_Hlk124447291"/>
                      <w:r w:rsidRPr="003F0151">
                        <w:rPr>
                          <w:lang w:val="en-GB"/>
                        </w:rPr>
                        <w:t xml:space="preserve">Beach, Derek, and Jonas Gejl Kaas. (2020) ‘The Great Divides: Incommensurability, the Impossibility of Mixed-Methodology and What to Do about It.’ International Studies Review, 22(2): 214–235. </w:t>
                      </w:r>
                    </w:p>
                    <w:p w14:paraId="5F885B7C" w14:textId="519C263F" w:rsidR="00212FD6" w:rsidRDefault="002018F6" w:rsidP="003F0151">
                      <w:pPr>
                        <w:pStyle w:val="Akapitzlist"/>
                        <w:numPr>
                          <w:ilvl w:val="0"/>
                          <w:numId w:val="10"/>
                        </w:numPr>
                        <w:jc w:val="both"/>
                        <w:rPr>
                          <w:lang w:val="en-GB"/>
                        </w:rPr>
                      </w:pPr>
                      <w:r w:rsidRPr="003F0151">
                        <w:rPr>
                          <w:lang w:val="en-GB"/>
                        </w:rPr>
                        <w:t xml:space="preserve">Beach, D (2022) 'Process-Tracing Methods in Social Science. 2nd version' Oxford Research </w:t>
                      </w:r>
                      <w:proofErr w:type="spellStart"/>
                      <w:r w:rsidRPr="003F0151">
                        <w:rPr>
                          <w:lang w:val="en-GB"/>
                        </w:rPr>
                        <w:t>Encyclopedias</w:t>
                      </w:r>
                      <w:proofErr w:type="spellEnd"/>
                      <w:r w:rsidRPr="003F0151">
                        <w:rPr>
                          <w:lang w:val="en-GB"/>
                        </w:rPr>
                        <w:t xml:space="preserve"> of Politics: Qualitative Political Methodology. Oxford University Press. DOI: 10.1093/</w:t>
                      </w:r>
                      <w:proofErr w:type="spellStart"/>
                      <w:r w:rsidRPr="003F0151">
                        <w:rPr>
                          <w:lang w:val="en-GB"/>
                        </w:rPr>
                        <w:t>acrefore</w:t>
                      </w:r>
                      <w:proofErr w:type="spellEnd"/>
                      <w:r w:rsidRPr="003F0151">
                        <w:rPr>
                          <w:lang w:val="en-GB"/>
                        </w:rPr>
                        <w:t>/9780190228637.013.176  [sections 1-3]</w:t>
                      </w:r>
                      <w:bookmarkEnd w:id="13"/>
                      <w:bookmarkEnd w:id="14"/>
                      <w:bookmarkEnd w:id="15"/>
                      <w:bookmarkEnd w:id="16"/>
                      <w:bookmarkEnd w:id="17"/>
                      <w:bookmarkEnd w:id="18"/>
                      <w:bookmarkEnd w:id="19"/>
                      <w:bookmarkEnd w:id="20"/>
                      <w:bookmarkEnd w:id="21"/>
                      <w:bookmarkEnd w:id="22"/>
                      <w:r w:rsidR="003F0151">
                        <w:rPr>
                          <w:lang w:val="en-GB"/>
                        </w:rPr>
                        <w:t>.</w:t>
                      </w:r>
                    </w:p>
                    <w:p w14:paraId="6E7418B9" w14:textId="77777777" w:rsidR="003F0151" w:rsidRPr="003F0151" w:rsidRDefault="003F0151" w:rsidP="003F0151">
                      <w:pPr>
                        <w:pStyle w:val="Akapitzlist"/>
                        <w:ind w:left="1080"/>
                        <w:jc w:val="both"/>
                        <w:rPr>
                          <w:lang w:val="en-GB"/>
                        </w:rPr>
                      </w:pPr>
                    </w:p>
                    <w:p w14:paraId="24AB2C32" w14:textId="4D77F2E6" w:rsidR="002018F6" w:rsidRDefault="002018F6" w:rsidP="003F0151">
                      <w:pPr>
                        <w:pStyle w:val="Akapitzlist"/>
                        <w:numPr>
                          <w:ilvl w:val="0"/>
                          <w:numId w:val="2"/>
                        </w:numPr>
                        <w:jc w:val="both"/>
                        <w:rPr>
                          <w:lang w:val="en-GB"/>
                        </w:rPr>
                      </w:pPr>
                      <w:r w:rsidRPr="002018F6">
                        <w:rPr>
                          <w:lang w:val="en-GB"/>
                        </w:rPr>
                        <w:t>Session 2 – theorizing and evidencing</w:t>
                      </w:r>
                      <w:r>
                        <w:rPr>
                          <w:lang w:val="en-GB"/>
                        </w:rPr>
                        <w:t xml:space="preserve">. </w:t>
                      </w:r>
                      <w:r w:rsidRPr="002018F6">
                        <w:rPr>
                          <w:lang w:val="en-GB"/>
                        </w:rPr>
                        <w:t>The second session deals with the use of theory in case study methods and how they can be evidenced. We will first discuss the types of theoretical claims and the role of theory in case study methods – focusing on process tracing. This will be followed by a discussion of relevant evidence in case studies. Groupwork will use the article by Olesen &amp; Pedersen and Winward and as an illustration of how process tracing case study can look like.</w:t>
                      </w:r>
                    </w:p>
                    <w:p w14:paraId="0DAE4B82" w14:textId="77777777" w:rsidR="003F0151" w:rsidRPr="003F0151" w:rsidRDefault="003F0151" w:rsidP="003F0151">
                      <w:pPr>
                        <w:pStyle w:val="Akapitzlist"/>
                        <w:jc w:val="both"/>
                        <w:rPr>
                          <w:lang w:val="en-GB"/>
                        </w:rPr>
                      </w:pPr>
                    </w:p>
                    <w:p w14:paraId="55CB2DDD" w14:textId="77777777" w:rsidR="002018F6" w:rsidRPr="002018F6" w:rsidRDefault="002018F6" w:rsidP="002018F6">
                      <w:pPr>
                        <w:pStyle w:val="Akapitzlist"/>
                        <w:jc w:val="both"/>
                        <w:rPr>
                          <w:lang w:val="en-GB"/>
                        </w:rPr>
                      </w:pPr>
                      <w:r w:rsidRPr="002018F6">
                        <w:rPr>
                          <w:lang w:val="en-GB"/>
                        </w:rPr>
                        <w:t>Obligatory reading:</w:t>
                      </w:r>
                    </w:p>
                    <w:p w14:paraId="4AED4D5B" w14:textId="2C77C955" w:rsidR="002018F6" w:rsidRPr="003F0151" w:rsidRDefault="002018F6" w:rsidP="003F0151">
                      <w:pPr>
                        <w:pStyle w:val="Akapitzlist"/>
                        <w:numPr>
                          <w:ilvl w:val="0"/>
                          <w:numId w:val="8"/>
                        </w:numPr>
                        <w:jc w:val="both"/>
                        <w:rPr>
                          <w:lang w:val="en-GB"/>
                        </w:rPr>
                      </w:pPr>
                      <w:bookmarkStart w:id="23" w:name="_Hlk124447399"/>
                      <w:bookmarkStart w:id="24" w:name="_Hlk124447400"/>
                      <w:r w:rsidRPr="002018F6">
                        <w:rPr>
                          <w:lang w:val="en-GB"/>
                        </w:rPr>
                        <w:t>Beach and Pedersen (2019) Process-tracing methods. 2nd Edition, Ann Arbor: University of Michigan Press. Chapter 3, 5.</w:t>
                      </w:r>
                    </w:p>
                    <w:p w14:paraId="46F77F95" w14:textId="5FB7A30B" w:rsidR="00412BBC" w:rsidRDefault="002018F6" w:rsidP="002018F6">
                      <w:pPr>
                        <w:pStyle w:val="Akapitzlist"/>
                        <w:numPr>
                          <w:ilvl w:val="0"/>
                          <w:numId w:val="8"/>
                        </w:numPr>
                        <w:jc w:val="both"/>
                        <w:rPr>
                          <w:lang w:val="en-GB"/>
                        </w:rPr>
                      </w:pPr>
                      <w:r w:rsidRPr="00412BBC">
                        <w:rPr>
                          <w:lang w:val="en-GB"/>
                        </w:rPr>
                        <w:t>Olesen &amp; Pedersen (forthcoming) Speak like a liberal, act like a realist? A look behind the curtain of Denmark’s decision to participate in the NATO intervention in Kosovo</w:t>
                      </w:r>
                      <w:r w:rsidR="003F0151" w:rsidRPr="00412BBC">
                        <w:rPr>
                          <w:lang w:val="en-GB"/>
                        </w:rPr>
                        <w:t>.</w:t>
                      </w:r>
                      <w:r w:rsidR="00412BBC" w:rsidRPr="00412BBC">
                        <w:rPr>
                          <w:lang w:val="en-GB"/>
                        </w:rPr>
                        <w:t xml:space="preserve"> (</w:t>
                      </w:r>
                      <w:r w:rsidR="00412BBC">
                        <w:rPr>
                          <w:lang w:val="en-GB"/>
                        </w:rPr>
                        <w:t>U</w:t>
                      </w:r>
                      <w:r w:rsidR="00412BBC" w:rsidRPr="00412BBC">
                        <w:rPr>
                          <w:lang w:val="en-GB"/>
                        </w:rPr>
                        <w:t>nder review in International Studies Quarterly)</w:t>
                      </w:r>
                    </w:p>
                    <w:p w14:paraId="1E02A60C" w14:textId="7AD7E19F" w:rsidR="002018F6" w:rsidRPr="00412BBC" w:rsidRDefault="002018F6" w:rsidP="002018F6">
                      <w:pPr>
                        <w:pStyle w:val="Akapitzlist"/>
                        <w:numPr>
                          <w:ilvl w:val="0"/>
                          <w:numId w:val="8"/>
                        </w:numPr>
                        <w:jc w:val="both"/>
                        <w:rPr>
                          <w:lang w:val="en-GB"/>
                        </w:rPr>
                      </w:pPr>
                      <w:r w:rsidRPr="00412BBC">
                        <w:rPr>
                          <w:lang w:val="en-GB"/>
                        </w:rPr>
                        <w:t xml:space="preserve">Winward, M. (2021). Intelligence Capacity and Mass Violence: Evidence From Indonesia. Comparative Political Studies, 54(3–4), 553–584. </w:t>
                      </w:r>
                      <w:hyperlink r:id="rId8" w:history="1">
                        <w:r w:rsidRPr="00412BBC">
                          <w:rPr>
                            <w:rStyle w:val="Hipercze"/>
                            <w:lang w:val="en-GB"/>
                          </w:rPr>
                          <w:t>https://doi.org/10.1177/0010414020938072</w:t>
                        </w:r>
                      </w:hyperlink>
                      <w:bookmarkEnd w:id="23"/>
                      <w:bookmarkEnd w:id="24"/>
                    </w:p>
                    <w:p w14:paraId="5A034910" w14:textId="77777777" w:rsidR="003F0151" w:rsidRDefault="003F0151" w:rsidP="002018F6">
                      <w:pPr>
                        <w:pStyle w:val="Akapitzlist"/>
                        <w:jc w:val="both"/>
                        <w:rPr>
                          <w:lang w:val="en-GB"/>
                        </w:rPr>
                      </w:pPr>
                    </w:p>
                    <w:p w14:paraId="6BEB72CF" w14:textId="58A3C6FD" w:rsidR="002018F6" w:rsidRPr="002018F6" w:rsidRDefault="002018F6" w:rsidP="002018F6">
                      <w:pPr>
                        <w:pStyle w:val="Akapitzlist"/>
                        <w:numPr>
                          <w:ilvl w:val="0"/>
                          <w:numId w:val="2"/>
                        </w:numPr>
                        <w:jc w:val="both"/>
                        <w:rPr>
                          <w:lang w:val="en-GB"/>
                        </w:rPr>
                      </w:pPr>
                      <w:r w:rsidRPr="002018F6">
                        <w:rPr>
                          <w:lang w:val="en-GB"/>
                        </w:rPr>
                        <w:t>Session 3 – selecting cases and the challenge of generalization</w:t>
                      </w:r>
                      <w:r>
                        <w:rPr>
                          <w:lang w:val="en-GB"/>
                        </w:rPr>
                        <w:t xml:space="preserve">. </w:t>
                      </w:r>
                      <w:r w:rsidRPr="002018F6">
                        <w:rPr>
                          <w:lang w:val="en-GB"/>
                        </w:rPr>
                        <w:t>The third session deals with case selection, and how to assess whether findings from a set of cases can travel to other, non-studied cases. The focus is on understanding why ‘typical’ (positive) cases of a cause and outcome are usually selected, as well as briefly introducing the use of comparative methods to assess whether claims from case studies can travel.</w:t>
                      </w:r>
                    </w:p>
                    <w:p w14:paraId="42A05268" w14:textId="7501277B" w:rsidR="002018F6" w:rsidRPr="002018F6" w:rsidRDefault="003F0151" w:rsidP="002018F6">
                      <w:pPr>
                        <w:pStyle w:val="Akapitzlist"/>
                        <w:jc w:val="both"/>
                        <w:rPr>
                          <w:lang w:val="en-GB"/>
                        </w:rPr>
                      </w:pPr>
                      <w:r>
                        <w:rPr>
                          <w:lang w:val="en-GB"/>
                        </w:rPr>
                        <w:t xml:space="preserve">Obligatory reading: </w:t>
                      </w:r>
                    </w:p>
                    <w:p w14:paraId="5F9665AE" w14:textId="0B049C93" w:rsidR="002018F6" w:rsidRPr="002018F6" w:rsidRDefault="002018F6" w:rsidP="003F0151">
                      <w:pPr>
                        <w:pStyle w:val="Akapitzlist"/>
                        <w:numPr>
                          <w:ilvl w:val="0"/>
                          <w:numId w:val="9"/>
                        </w:numPr>
                        <w:jc w:val="both"/>
                        <w:rPr>
                          <w:lang w:val="en-GB"/>
                        </w:rPr>
                      </w:pPr>
                      <w:r w:rsidRPr="002018F6">
                        <w:rPr>
                          <w:lang w:val="en-GB"/>
                        </w:rPr>
                        <w:t xml:space="preserve">Beach, D (2022) 'Process-Tracing Methods in Social Science. 2nd version' Oxford Research </w:t>
                      </w:r>
                      <w:proofErr w:type="spellStart"/>
                      <w:r w:rsidRPr="002018F6">
                        <w:rPr>
                          <w:lang w:val="en-GB"/>
                        </w:rPr>
                        <w:t>Encyclopedias</w:t>
                      </w:r>
                      <w:proofErr w:type="spellEnd"/>
                      <w:r w:rsidRPr="002018F6">
                        <w:rPr>
                          <w:lang w:val="en-GB"/>
                        </w:rPr>
                        <w:t xml:space="preserve"> of Politics: Qualitative Political Methodology. Oxford University Press. DOI: 10.1093/</w:t>
                      </w:r>
                      <w:proofErr w:type="spellStart"/>
                      <w:r w:rsidRPr="002018F6">
                        <w:rPr>
                          <w:lang w:val="en-GB"/>
                        </w:rPr>
                        <w:t>acrefore</w:t>
                      </w:r>
                      <w:proofErr w:type="spellEnd"/>
                      <w:r w:rsidRPr="002018F6">
                        <w:rPr>
                          <w:lang w:val="en-GB"/>
                        </w:rPr>
                        <w:t>/9780190228637.013.176  [section 4]</w:t>
                      </w:r>
                    </w:p>
                  </w:txbxContent>
                </v:textbox>
                <w10:wrap type="square"/>
              </v:shape>
            </w:pict>
          </mc:Fallback>
        </mc:AlternateContent>
      </w:r>
      <w:r w:rsidRPr="00212FD6">
        <w:rPr>
          <w:b/>
          <w:bCs/>
          <w:sz w:val="28"/>
          <w:szCs w:val="28"/>
          <w:lang w:val="en-GB"/>
        </w:rPr>
        <w:t>Study content</w:t>
      </w:r>
    </w:p>
    <w:p w14:paraId="39824152" w14:textId="77777777" w:rsidR="002018F6" w:rsidRDefault="002018F6" w:rsidP="00212FD6">
      <w:pPr>
        <w:jc w:val="center"/>
        <w:rPr>
          <w:b/>
          <w:bCs/>
          <w:sz w:val="28"/>
          <w:szCs w:val="28"/>
          <w:highlight w:val="yellow"/>
          <w:lang w:val="en-GB"/>
        </w:rPr>
      </w:pPr>
    </w:p>
    <w:p w14:paraId="28CAD0C8" w14:textId="186A1A5E" w:rsidR="00212FD6" w:rsidRPr="00165E8D" w:rsidRDefault="00212FD6" w:rsidP="00212FD6">
      <w:pPr>
        <w:jc w:val="center"/>
        <w:rPr>
          <w:b/>
          <w:bCs/>
          <w:sz w:val="28"/>
          <w:szCs w:val="28"/>
          <w:lang w:val="en-GB"/>
        </w:rPr>
      </w:pPr>
      <w:r w:rsidRPr="00165E8D">
        <w:rPr>
          <w:b/>
          <w:bCs/>
          <w:sz w:val="28"/>
          <w:szCs w:val="28"/>
          <w:lang w:val="en-GB"/>
        </w:rPr>
        <w:t>Literature</w:t>
      </w:r>
    </w:p>
    <w:p w14:paraId="07B83F5C" w14:textId="3C03E77A" w:rsidR="00212FD6" w:rsidRPr="003F0151" w:rsidRDefault="00212FD6" w:rsidP="00212FD6">
      <w:pPr>
        <w:rPr>
          <w:rFonts w:cstheme="minorHAnsi"/>
          <w:b/>
          <w:bCs/>
          <w:lang w:val="en-US"/>
        </w:rPr>
      </w:pPr>
      <w:r w:rsidRPr="00212FD6">
        <w:rPr>
          <w:rFonts w:cstheme="minorHAnsi"/>
          <w:b/>
          <w:bCs/>
          <w:lang w:val="en-US"/>
        </w:rPr>
        <w:t>Obligatory</w:t>
      </w:r>
    </w:p>
    <w:p w14:paraId="2F2AF6E9" w14:textId="77777777" w:rsidR="002018F6" w:rsidRPr="002018F6" w:rsidRDefault="002018F6" w:rsidP="002018F6">
      <w:pPr>
        <w:pStyle w:val="Akapitzlist"/>
        <w:numPr>
          <w:ilvl w:val="0"/>
          <w:numId w:val="6"/>
        </w:numPr>
        <w:rPr>
          <w:rFonts w:cstheme="minorHAnsi"/>
          <w:lang w:val="en-GB"/>
        </w:rPr>
      </w:pPr>
      <w:r w:rsidRPr="002018F6">
        <w:rPr>
          <w:rFonts w:cstheme="minorHAnsi"/>
          <w:lang w:val="en-GB"/>
        </w:rPr>
        <w:t xml:space="preserve">Beach, Derek, and Jonas Gejl Kaas. (2020) ‘The Great Divides: Incommensurability, the Impossibility of Mixed-Methodology and What to Do about It.’ International Studies Review, 22(2): 214–235. </w:t>
      </w:r>
    </w:p>
    <w:p w14:paraId="1E4F20B0" w14:textId="57A10930" w:rsidR="002018F6" w:rsidRDefault="002018F6" w:rsidP="002018F6">
      <w:pPr>
        <w:pStyle w:val="Akapitzlist"/>
        <w:numPr>
          <w:ilvl w:val="0"/>
          <w:numId w:val="6"/>
        </w:numPr>
        <w:rPr>
          <w:rFonts w:cstheme="minorHAnsi"/>
          <w:lang w:val="en-GB"/>
        </w:rPr>
      </w:pPr>
      <w:r w:rsidRPr="002018F6">
        <w:rPr>
          <w:rFonts w:cstheme="minorHAnsi"/>
          <w:lang w:val="en-GB"/>
        </w:rPr>
        <w:t xml:space="preserve">Beach, D (2022) 'Process-Tracing Methods in Social Science. 2nd version' Oxford Research </w:t>
      </w:r>
      <w:proofErr w:type="spellStart"/>
      <w:r w:rsidRPr="002018F6">
        <w:rPr>
          <w:rFonts w:cstheme="minorHAnsi"/>
          <w:lang w:val="en-GB"/>
        </w:rPr>
        <w:t>Encyclopedias</w:t>
      </w:r>
      <w:proofErr w:type="spellEnd"/>
      <w:r w:rsidRPr="002018F6">
        <w:rPr>
          <w:rFonts w:cstheme="minorHAnsi"/>
          <w:lang w:val="en-GB"/>
        </w:rPr>
        <w:t xml:space="preserve"> of Politics: Qualitative Political Methodology. Oxford University Press. DOI: 10.1093/</w:t>
      </w:r>
      <w:proofErr w:type="spellStart"/>
      <w:r w:rsidRPr="002018F6">
        <w:rPr>
          <w:rFonts w:cstheme="minorHAnsi"/>
          <w:lang w:val="en-GB"/>
        </w:rPr>
        <w:t>acrefore</w:t>
      </w:r>
      <w:proofErr w:type="spellEnd"/>
      <w:r w:rsidRPr="002018F6">
        <w:rPr>
          <w:rFonts w:cstheme="minorHAnsi"/>
          <w:lang w:val="en-GB"/>
        </w:rPr>
        <w:t>/9780190228637.013.176  [sections 1-3]</w:t>
      </w:r>
    </w:p>
    <w:p w14:paraId="1604D24B" w14:textId="77777777" w:rsidR="002018F6" w:rsidRPr="002018F6" w:rsidRDefault="002018F6" w:rsidP="002018F6">
      <w:pPr>
        <w:pStyle w:val="Akapitzlist"/>
        <w:numPr>
          <w:ilvl w:val="0"/>
          <w:numId w:val="6"/>
        </w:numPr>
        <w:rPr>
          <w:rFonts w:cstheme="minorHAnsi"/>
          <w:lang w:val="en-GB"/>
        </w:rPr>
      </w:pPr>
      <w:r w:rsidRPr="002018F6">
        <w:rPr>
          <w:rFonts w:cstheme="minorHAnsi"/>
          <w:lang w:val="en-GB"/>
        </w:rPr>
        <w:t>Beach and Pedersen (2019) Process-tracing methods. 2nd Edition, Ann Arbor: University of Michigan Press. Chapter 3, 5.</w:t>
      </w:r>
    </w:p>
    <w:p w14:paraId="520436FA" w14:textId="77777777" w:rsidR="002018F6" w:rsidRPr="002018F6" w:rsidRDefault="002018F6" w:rsidP="002018F6">
      <w:pPr>
        <w:pStyle w:val="Akapitzlist"/>
        <w:numPr>
          <w:ilvl w:val="0"/>
          <w:numId w:val="6"/>
        </w:numPr>
        <w:rPr>
          <w:rFonts w:cstheme="minorHAnsi"/>
          <w:lang w:val="en-GB"/>
        </w:rPr>
      </w:pPr>
      <w:r w:rsidRPr="002018F6">
        <w:rPr>
          <w:rFonts w:cstheme="minorHAnsi"/>
          <w:lang w:val="en-GB"/>
        </w:rPr>
        <w:t>Olesen &amp; Pedersen (forthcoming) Speak like a liberal, act like a realist? A look behind the curtain of Denmark’s decision to participate in the NATO intervention in Kosovo (Paper uploaded via learning platform)</w:t>
      </w:r>
    </w:p>
    <w:p w14:paraId="57EA5CB7" w14:textId="0BF92893" w:rsidR="002018F6" w:rsidRDefault="002018F6" w:rsidP="002018F6">
      <w:pPr>
        <w:pStyle w:val="Akapitzlist"/>
        <w:numPr>
          <w:ilvl w:val="0"/>
          <w:numId w:val="6"/>
        </w:numPr>
        <w:rPr>
          <w:rFonts w:cstheme="minorHAnsi"/>
          <w:lang w:val="en-GB"/>
        </w:rPr>
      </w:pPr>
      <w:r w:rsidRPr="002018F6">
        <w:rPr>
          <w:rFonts w:cstheme="minorHAnsi"/>
          <w:lang w:val="en-GB"/>
        </w:rPr>
        <w:t xml:space="preserve">Winward, M. (2021). Intelligence Capacity and Mass Violence: Evidence From Indonesia. Comparative Political Studies, 54(3–4), 553–584. </w:t>
      </w:r>
      <w:hyperlink r:id="rId9" w:history="1">
        <w:r w:rsidRPr="00847859">
          <w:rPr>
            <w:rStyle w:val="Hipercze"/>
            <w:rFonts w:cstheme="minorHAnsi"/>
            <w:lang w:val="en-GB"/>
          </w:rPr>
          <w:t>https://doi.org/10.1177/0010414020938072</w:t>
        </w:r>
      </w:hyperlink>
    </w:p>
    <w:p w14:paraId="788FB5E7" w14:textId="28130667" w:rsidR="00212FD6" w:rsidRPr="00F35131" w:rsidRDefault="002018F6" w:rsidP="00F35131">
      <w:pPr>
        <w:pStyle w:val="Akapitzlist"/>
        <w:numPr>
          <w:ilvl w:val="0"/>
          <w:numId w:val="6"/>
        </w:numPr>
        <w:rPr>
          <w:rFonts w:cstheme="minorHAnsi"/>
          <w:lang w:val="en-GB"/>
        </w:rPr>
      </w:pPr>
      <w:r w:rsidRPr="002018F6">
        <w:rPr>
          <w:rFonts w:cstheme="minorHAnsi"/>
          <w:lang w:val="en-GB"/>
        </w:rPr>
        <w:t xml:space="preserve">Beach, D (2022) 'Process-Tracing Methods in Social Science. 2nd version' Oxford Research </w:t>
      </w:r>
      <w:proofErr w:type="spellStart"/>
      <w:r w:rsidRPr="002018F6">
        <w:rPr>
          <w:rFonts w:cstheme="minorHAnsi"/>
          <w:lang w:val="en-GB"/>
        </w:rPr>
        <w:t>Encyclopedias</w:t>
      </w:r>
      <w:proofErr w:type="spellEnd"/>
      <w:r w:rsidRPr="002018F6">
        <w:rPr>
          <w:rFonts w:cstheme="minorHAnsi"/>
          <w:lang w:val="en-GB"/>
        </w:rPr>
        <w:t xml:space="preserve"> of Politics: Qualitative Political Methodology. Oxford University Press. DOI: 10.1093/</w:t>
      </w:r>
      <w:proofErr w:type="spellStart"/>
      <w:r w:rsidRPr="002018F6">
        <w:rPr>
          <w:rFonts w:cstheme="minorHAnsi"/>
          <w:lang w:val="en-GB"/>
        </w:rPr>
        <w:t>acrefore</w:t>
      </w:r>
      <w:proofErr w:type="spellEnd"/>
      <w:r w:rsidRPr="002018F6">
        <w:rPr>
          <w:rFonts w:cstheme="minorHAnsi"/>
          <w:lang w:val="en-GB"/>
        </w:rPr>
        <w:t>/9780190228637.013.176  [section 4]</w:t>
      </w:r>
    </w:p>
    <w:p w14:paraId="5D6657F4" w14:textId="77777777" w:rsidR="00212FD6" w:rsidRPr="00212FD6" w:rsidRDefault="00212FD6" w:rsidP="00212FD6">
      <w:pPr>
        <w:widowControl w:val="0"/>
        <w:autoSpaceDE w:val="0"/>
        <w:autoSpaceDN w:val="0"/>
        <w:spacing w:before="179" w:after="0" w:line="273" w:lineRule="auto"/>
        <w:ind w:right="77"/>
        <w:jc w:val="both"/>
        <w:rPr>
          <w:rFonts w:eastAsia="Trebuchet MS" w:cstheme="minorHAnsi"/>
          <w:lang w:val="en-US"/>
        </w:rPr>
      </w:pPr>
    </w:p>
    <w:p w14:paraId="3A490D0C" w14:textId="77777777" w:rsidR="00212FD6" w:rsidRPr="00212FD6" w:rsidRDefault="00212FD6" w:rsidP="00212FD6">
      <w:pPr>
        <w:rPr>
          <w:sz w:val="28"/>
          <w:szCs w:val="28"/>
          <w:lang w:val="en-US"/>
        </w:rPr>
      </w:pPr>
    </w:p>
    <w:p w14:paraId="730612D1" w14:textId="77777777" w:rsidR="00881E9F" w:rsidRPr="00212FD6" w:rsidRDefault="00881E9F">
      <w:pPr>
        <w:rPr>
          <w:lang w:val="en-US"/>
        </w:rPr>
      </w:pPr>
    </w:p>
    <w:sectPr w:rsidR="00881E9F" w:rsidRPr="00212FD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230F" w14:textId="77777777" w:rsidR="0031430F" w:rsidRDefault="0031430F">
      <w:pPr>
        <w:spacing w:after="0" w:line="240" w:lineRule="auto"/>
      </w:pPr>
      <w:r>
        <w:separator/>
      </w:r>
    </w:p>
  </w:endnote>
  <w:endnote w:type="continuationSeparator" w:id="0">
    <w:p w14:paraId="55B9C73E" w14:textId="77777777" w:rsidR="0031430F" w:rsidRDefault="0031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67C" w14:textId="77777777" w:rsidR="00493414" w:rsidRDefault="00000000">
    <w:pPr>
      <w:pStyle w:val="Stopka"/>
    </w:pPr>
  </w:p>
  <w:p w14:paraId="417065EC" w14:textId="77777777" w:rsidR="004B1ADB" w:rsidRDefault="00412BBC">
    <w:pPr>
      <w:pStyle w:val="Stopka"/>
    </w:pPr>
    <w:r>
      <w:rPr>
        <w:noProof/>
      </w:rPr>
      <w:drawing>
        <wp:inline distT="0" distB="0" distL="0" distR="0" wp14:anchorId="07EE0031" wp14:editId="5089FA31">
          <wp:extent cx="5646420" cy="750336"/>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609" cy="76418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5BEE" w14:textId="77777777" w:rsidR="0031430F" w:rsidRDefault="0031430F">
      <w:pPr>
        <w:spacing w:after="0" w:line="240" w:lineRule="auto"/>
      </w:pPr>
      <w:r>
        <w:separator/>
      </w:r>
    </w:p>
  </w:footnote>
  <w:footnote w:type="continuationSeparator" w:id="0">
    <w:p w14:paraId="7AFE9933" w14:textId="77777777" w:rsidR="0031430F" w:rsidRDefault="00314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C928" w14:textId="77777777" w:rsidR="005C4067" w:rsidRDefault="00412BBC">
    <w:pPr>
      <w:pStyle w:val="Nagwek"/>
      <w:rPr>
        <w:noProof/>
      </w:rPr>
    </w:pPr>
    <w:r>
      <w:rPr>
        <w:noProof/>
      </w:rPr>
      <w:t xml:space="preserve">      </w:t>
    </w:r>
    <w:r>
      <w:rPr>
        <w:noProof/>
      </w:rPr>
      <w:drawing>
        <wp:inline distT="0" distB="0" distL="0" distR="0" wp14:anchorId="5C8CAAF5" wp14:editId="1B876A99">
          <wp:extent cx="1476567" cy="88392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741" cy="888813"/>
                  </a:xfrm>
                  <a:prstGeom prst="rect">
                    <a:avLst/>
                  </a:prstGeom>
                  <a:noFill/>
                </pic:spPr>
              </pic:pic>
            </a:graphicData>
          </a:graphic>
        </wp:inline>
      </w:drawing>
    </w:r>
    <w:r>
      <w:rPr>
        <w:noProof/>
      </w:rPr>
      <w:t xml:space="preserve">             </w:t>
    </w:r>
    <w:r>
      <w:rPr>
        <w:noProof/>
      </w:rPr>
      <w:drawing>
        <wp:inline distT="0" distB="0" distL="0" distR="0" wp14:anchorId="35113125" wp14:editId="6F972FCE">
          <wp:extent cx="1935415" cy="825057"/>
          <wp:effectExtent l="0" t="0" r="8255"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940" cy="830823"/>
                  </a:xfrm>
                  <a:prstGeom prst="rect">
                    <a:avLst/>
                  </a:prstGeom>
                  <a:noFill/>
                </pic:spPr>
              </pic:pic>
            </a:graphicData>
          </a:graphic>
        </wp:inline>
      </w:drawing>
    </w:r>
    <w:r>
      <w:rPr>
        <w:noProof/>
      </w:rPr>
      <w:t xml:space="preserve">    </w:t>
    </w:r>
    <w:r>
      <w:rPr>
        <w:noProof/>
      </w:rPr>
      <w:drawing>
        <wp:inline distT="0" distB="0" distL="0" distR="0" wp14:anchorId="1611EA19" wp14:editId="484E8917">
          <wp:extent cx="1447165" cy="994440"/>
          <wp:effectExtent l="0" t="0" r="63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b="8832"/>
                  <a:stretch/>
                </pic:blipFill>
                <pic:spPr bwMode="auto">
                  <a:xfrm>
                    <a:off x="0" y="0"/>
                    <a:ext cx="1450017" cy="9964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0523"/>
    <w:multiLevelType w:val="hybridMultilevel"/>
    <w:tmpl w:val="9340A72A"/>
    <w:lvl w:ilvl="0" w:tplc="831C3188">
      <w:start w:val="16"/>
      <w:numFmt w:val="bullet"/>
      <w:lvlText w:val="-"/>
      <w:lvlJc w:val="left"/>
      <w:pPr>
        <w:ind w:left="720" w:hanging="360"/>
      </w:pPr>
      <w:rPr>
        <w:rFonts w:ascii="Trebuchet MS" w:eastAsia="Trebuchet MS" w:hAnsi="Trebuchet MS" w:cs="Trebuchet M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065738"/>
    <w:multiLevelType w:val="hybridMultilevel"/>
    <w:tmpl w:val="87D0BD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F9C5A46"/>
    <w:multiLevelType w:val="hybridMultilevel"/>
    <w:tmpl w:val="EA8A7584"/>
    <w:lvl w:ilvl="0" w:tplc="74DA5354">
      <w:numFmt w:val="bullet"/>
      <w:lvlText w:val="•"/>
      <w:lvlJc w:val="left"/>
      <w:pPr>
        <w:ind w:left="502" w:hanging="360"/>
      </w:pPr>
      <w:rPr>
        <w:rFonts w:ascii="Calibri" w:eastAsia="Trebuchet MS"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9E746D"/>
    <w:multiLevelType w:val="hybridMultilevel"/>
    <w:tmpl w:val="6FCEAB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21234EA"/>
    <w:multiLevelType w:val="hybridMultilevel"/>
    <w:tmpl w:val="7D8828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3143191"/>
    <w:multiLevelType w:val="hybridMultilevel"/>
    <w:tmpl w:val="647C77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D035119"/>
    <w:multiLevelType w:val="hybridMultilevel"/>
    <w:tmpl w:val="893C25AE"/>
    <w:lvl w:ilvl="0" w:tplc="831C3188">
      <w:start w:val="16"/>
      <w:numFmt w:val="bullet"/>
      <w:lvlText w:val="-"/>
      <w:lvlJc w:val="left"/>
      <w:pPr>
        <w:ind w:left="442" w:hanging="360"/>
      </w:pPr>
      <w:rPr>
        <w:rFonts w:ascii="Trebuchet MS" w:eastAsia="Trebuchet MS" w:hAnsi="Trebuchet MS" w:cs="Trebuchet MS" w:hint="default"/>
      </w:rPr>
    </w:lvl>
    <w:lvl w:ilvl="1" w:tplc="04150003" w:tentative="1">
      <w:start w:val="1"/>
      <w:numFmt w:val="bullet"/>
      <w:lvlText w:val="o"/>
      <w:lvlJc w:val="left"/>
      <w:pPr>
        <w:ind w:left="1162" w:hanging="360"/>
      </w:pPr>
      <w:rPr>
        <w:rFonts w:ascii="Courier New" w:hAnsi="Courier New" w:cs="Courier New" w:hint="default"/>
      </w:rPr>
    </w:lvl>
    <w:lvl w:ilvl="2" w:tplc="04150005" w:tentative="1">
      <w:start w:val="1"/>
      <w:numFmt w:val="bullet"/>
      <w:lvlText w:val=""/>
      <w:lvlJc w:val="left"/>
      <w:pPr>
        <w:ind w:left="1882" w:hanging="360"/>
      </w:pPr>
      <w:rPr>
        <w:rFonts w:ascii="Wingdings" w:hAnsi="Wingdings" w:hint="default"/>
      </w:rPr>
    </w:lvl>
    <w:lvl w:ilvl="3" w:tplc="04150001" w:tentative="1">
      <w:start w:val="1"/>
      <w:numFmt w:val="bullet"/>
      <w:lvlText w:val=""/>
      <w:lvlJc w:val="left"/>
      <w:pPr>
        <w:ind w:left="2602" w:hanging="360"/>
      </w:pPr>
      <w:rPr>
        <w:rFonts w:ascii="Symbol" w:hAnsi="Symbol" w:hint="default"/>
      </w:rPr>
    </w:lvl>
    <w:lvl w:ilvl="4" w:tplc="04150003" w:tentative="1">
      <w:start w:val="1"/>
      <w:numFmt w:val="bullet"/>
      <w:lvlText w:val="o"/>
      <w:lvlJc w:val="left"/>
      <w:pPr>
        <w:ind w:left="3322" w:hanging="360"/>
      </w:pPr>
      <w:rPr>
        <w:rFonts w:ascii="Courier New" w:hAnsi="Courier New" w:cs="Courier New" w:hint="default"/>
      </w:rPr>
    </w:lvl>
    <w:lvl w:ilvl="5" w:tplc="04150005" w:tentative="1">
      <w:start w:val="1"/>
      <w:numFmt w:val="bullet"/>
      <w:lvlText w:val=""/>
      <w:lvlJc w:val="left"/>
      <w:pPr>
        <w:ind w:left="4042" w:hanging="360"/>
      </w:pPr>
      <w:rPr>
        <w:rFonts w:ascii="Wingdings" w:hAnsi="Wingdings" w:hint="default"/>
      </w:rPr>
    </w:lvl>
    <w:lvl w:ilvl="6" w:tplc="04150001" w:tentative="1">
      <w:start w:val="1"/>
      <w:numFmt w:val="bullet"/>
      <w:lvlText w:val=""/>
      <w:lvlJc w:val="left"/>
      <w:pPr>
        <w:ind w:left="4762" w:hanging="360"/>
      </w:pPr>
      <w:rPr>
        <w:rFonts w:ascii="Symbol" w:hAnsi="Symbol" w:hint="default"/>
      </w:rPr>
    </w:lvl>
    <w:lvl w:ilvl="7" w:tplc="04150003" w:tentative="1">
      <w:start w:val="1"/>
      <w:numFmt w:val="bullet"/>
      <w:lvlText w:val="o"/>
      <w:lvlJc w:val="left"/>
      <w:pPr>
        <w:ind w:left="5482" w:hanging="360"/>
      </w:pPr>
      <w:rPr>
        <w:rFonts w:ascii="Courier New" w:hAnsi="Courier New" w:cs="Courier New" w:hint="default"/>
      </w:rPr>
    </w:lvl>
    <w:lvl w:ilvl="8" w:tplc="04150005" w:tentative="1">
      <w:start w:val="1"/>
      <w:numFmt w:val="bullet"/>
      <w:lvlText w:val=""/>
      <w:lvlJc w:val="left"/>
      <w:pPr>
        <w:ind w:left="6202" w:hanging="360"/>
      </w:pPr>
      <w:rPr>
        <w:rFonts w:ascii="Wingdings" w:hAnsi="Wingdings" w:hint="default"/>
      </w:rPr>
    </w:lvl>
  </w:abstractNum>
  <w:abstractNum w:abstractNumId="7" w15:restartNumberingAfterBreak="0">
    <w:nsid w:val="523E695D"/>
    <w:multiLevelType w:val="hybridMultilevel"/>
    <w:tmpl w:val="7936A4F0"/>
    <w:lvl w:ilvl="0" w:tplc="74DA5354">
      <w:numFmt w:val="bullet"/>
      <w:lvlText w:val="•"/>
      <w:lvlJc w:val="left"/>
      <w:pPr>
        <w:ind w:left="502" w:hanging="360"/>
      </w:pPr>
      <w:rPr>
        <w:rFonts w:ascii="Calibri" w:eastAsia="Trebuchet MS" w:hAnsi="Calibri"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52B112FA"/>
    <w:multiLevelType w:val="hybridMultilevel"/>
    <w:tmpl w:val="594E6A56"/>
    <w:lvl w:ilvl="0" w:tplc="2F3689D4">
      <w:numFmt w:val="bullet"/>
      <w:lvlText w:val=""/>
      <w:lvlJc w:val="left"/>
      <w:pPr>
        <w:ind w:left="516" w:hanging="360"/>
      </w:pPr>
      <w:rPr>
        <w:rFonts w:ascii="Symbol" w:eastAsiaTheme="minorHAnsi" w:hAnsi="Symbol" w:cstheme="minorBidi" w:hint="default"/>
        <w:b w:val="0"/>
        <w:w w:val="105"/>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8B4A49"/>
    <w:multiLevelType w:val="hybridMultilevel"/>
    <w:tmpl w:val="633A1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920482"/>
    <w:multiLevelType w:val="hybridMultilevel"/>
    <w:tmpl w:val="1B609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85225464">
    <w:abstractNumId w:val="6"/>
  </w:num>
  <w:num w:numId="2" w16cid:durableId="522523484">
    <w:abstractNumId w:val="9"/>
  </w:num>
  <w:num w:numId="3" w16cid:durableId="1575361273">
    <w:abstractNumId w:val="8"/>
  </w:num>
  <w:num w:numId="4" w16cid:durableId="887104099">
    <w:abstractNumId w:val="2"/>
  </w:num>
  <w:num w:numId="5" w16cid:durableId="2076582412">
    <w:abstractNumId w:val="7"/>
  </w:num>
  <w:num w:numId="6" w16cid:durableId="1579050615">
    <w:abstractNumId w:val="10"/>
  </w:num>
  <w:num w:numId="7" w16cid:durableId="766803038">
    <w:abstractNumId w:val="4"/>
  </w:num>
  <w:num w:numId="8" w16cid:durableId="214657081">
    <w:abstractNumId w:val="5"/>
  </w:num>
  <w:num w:numId="9" w16cid:durableId="2074616852">
    <w:abstractNumId w:val="3"/>
  </w:num>
  <w:num w:numId="10" w16cid:durableId="1136025178">
    <w:abstractNumId w:val="1"/>
  </w:num>
  <w:num w:numId="11" w16cid:durableId="339359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D6"/>
    <w:rsid w:val="00165E8D"/>
    <w:rsid w:val="001961C1"/>
    <w:rsid w:val="002018F6"/>
    <w:rsid w:val="00212FD6"/>
    <w:rsid w:val="0031430F"/>
    <w:rsid w:val="003F0151"/>
    <w:rsid w:val="00412BBC"/>
    <w:rsid w:val="006B2159"/>
    <w:rsid w:val="00881E9F"/>
    <w:rsid w:val="0097573A"/>
    <w:rsid w:val="00AF0CF3"/>
    <w:rsid w:val="00B35915"/>
    <w:rsid w:val="00CF5CB2"/>
    <w:rsid w:val="00F351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26CF"/>
  <w15:chartTrackingRefBased/>
  <w15:docId w15:val="{632D960E-B354-48E6-AB11-7630F900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91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2F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FD6"/>
  </w:style>
  <w:style w:type="paragraph" w:styleId="Stopka">
    <w:name w:val="footer"/>
    <w:basedOn w:val="Normalny"/>
    <w:link w:val="StopkaZnak"/>
    <w:uiPriority w:val="99"/>
    <w:unhideWhenUsed/>
    <w:rsid w:val="00212F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FD6"/>
  </w:style>
  <w:style w:type="table" w:customStyle="1" w:styleId="TableNormal">
    <w:name w:val="Table Normal"/>
    <w:uiPriority w:val="2"/>
    <w:semiHidden/>
    <w:unhideWhenUsed/>
    <w:qFormat/>
    <w:rsid w:val="00212F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kapitzlist">
    <w:name w:val="List Paragraph"/>
    <w:basedOn w:val="Normalny"/>
    <w:uiPriority w:val="34"/>
    <w:qFormat/>
    <w:rsid w:val="00212FD6"/>
    <w:pPr>
      <w:ind w:left="720"/>
      <w:contextualSpacing/>
    </w:pPr>
  </w:style>
  <w:style w:type="character" w:styleId="Hipercze">
    <w:name w:val="Hyperlink"/>
    <w:basedOn w:val="Domylnaczcionkaakapitu"/>
    <w:uiPriority w:val="99"/>
    <w:unhideWhenUsed/>
    <w:rsid w:val="002018F6"/>
    <w:rPr>
      <w:color w:val="0563C1" w:themeColor="hyperlink"/>
      <w:u w:val="single"/>
    </w:rPr>
  </w:style>
  <w:style w:type="character" w:styleId="Nierozpoznanawzmianka">
    <w:name w:val="Unresolved Mention"/>
    <w:basedOn w:val="Domylnaczcionkaakapitu"/>
    <w:uiPriority w:val="99"/>
    <w:semiHidden/>
    <w:unhideWhenUsed/>
    <w:rsid w:val="00201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104140209380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77/00104140209380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77/001041402093807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341</Words>
  <Characters>2046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Kaczmarczyk</dc:creator>
  <cp:keywords/>
  <dc:description/>
  <cp:lastModifiedBy>Karolina Kaczmarczyk</cp:lastModifiedBy>
  <cp:revision>5</cp:revision>
  <dcterms:created xsi:type="dcterms:W3CDTF">2023-01-12T19:52:00Z</dcterms:created>
  <dcterms:modified xsi:type="dcterms:W3CDTF">2023-01-17T17:03:00Z</dcterms:modified>
</cp:coreProperties>
</file>